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pacing w:line="560" w:lineRule="exact"/>
        <w:ind w:left="0" w:leftChars="0" w:firstLine="420" w:firstLineChars="200"/>
        <w:textAlignment w:val="auto"/>
        <w:rPr>
          <w:b w:val="0"/>
          <w:bCs w:val="0"/>
        </w:rPr>
      </w:pPr>
    </w:p>
    <w:p>
      <w:pPr>
        <w:keepNext w:val="0"/>
        <w:keepLines w:val="0"/>
        <w:pageBreakBefore w:val="0"/>
        <w:widowControl/>
        <w:kinsoku/>
        <w:wordWrap/>
        <w:overflowPunct/>
        <w:topLinePunct w:val="0"/>
        <w:autoSpaceDE/>
        <w:autoSpaceDN/>
        <w:bidi w:val="0"/>
        <w:adjustRightInd/>
        <w:spacing w:line="560" w:lineRule="exact"/>
        <w:ind w:left="0" w:leftChars="0" w:firstLine="640" w:firstLineChars="200"/>
        <w:jc w:val="left"/>
        <w:textAlignment w:val="auto"/>
        <w:rPr>
          <w:rFonts w:ascii="黑体" w:hAnsi="黑体" w:eastAsia="黑体" w:cs="宋体"/>
          <w:b w:val="0"/>
          <w:bCs w:val="0"/>
          <w:color w:val="333333"/>
          <w:sz w:val="32"/>
          <w:szCs w:val="32"/>
        </w:rPr>
      </w:pPr>
      <w:r>
        <w:rPr>
          <w:rFonts w:hint="eastAsia" w:ascii="黑体" w:hAnsi="黑体" w:eastAsia="黑体" w:cs="宋体"/>
          <w:b w:val="0"/>
          <w:bCs w:val="0"/>
          <w:color w:val="333333"/>
          <w:sz w:val="32"/>
          <w:szCs w:val="32"/>
        </w:rPr>
        <w:t>附件4：</w:t>
      </w:r>
    </w:p>
    <w:p>
      <w:pPr>
        <w:keepNext w:val="0"/>
        <w:keepLines w:val="0"/>
        <w:pageBreakBefore w:val="0"/>
        <w:kinsoku/>
        <w:wordWrap/>
        <w:overflowPunct/>
        <w:topLinePunct w:val="0"/>
        <w:autoSpaceDE/>
        <w:autoSpaceDN/>
        <w:bidi w:val="0"/>
        <w:adjustRightInd/>
        <w:spacing w:line="560" w:lineRule="exact"/>
        <w:ind w:left="0" w:leftChars="0" w:firstLine="960" w:firstLineChars="200"/>
        <w:jc w:val="center"/>
        <w:textAlignment w:val="auto"/>
        <w:rPr>
          <w:rFonts w:ascii="方正小标宋_GBK" w:hAnsi="华文中宋" w:eastAsia="方正小标宋_GBK" w:cs="宋体"/>
          <w:b w:val="0"/>
          <w:bCs w:val="0"/>
          <w:kern w:val="0"/>
          <w:sz w:val="48"/>
          <w:szCs w:val="48"/>
        </w:rPr>
      </w:pPr>
    </w:p>
    <w:p>
      <w:pPr>
        <w:keepNext w:val="0"/>
        <w:keepLines w:val="0"/>
        <w:pageBreakBefore w:val="0"/>
        <w:kinsoku/>
        <w:wordWrap/>
        <w:overflowPunct/>
        <w:topLinePunct w:val="0"/>
        <w:autoSpaceDE/>
        <w:autoSpaceDN/>
        <w:bidi w:val="0"/>
        <w:adjustRightInd/>
        <w:spacing w:line="560" w:lineRule="exact"/>
        <w:ind w:left="0" w:leftChars="0" w:firstLine="960" w:firstLineChars="200"/>
        <w:jc w:val="center"/>
        <w:textAlignment w:val="auto"/>
        <w:rPr>
          <w:rFonts w:ascii="方正小标宋_GBK" w:hAnsi="华文中宋" w:eastAsia="方正小标宋_GBK" w:cs="宋体"/>
          <w:b w:val="0"/>
          <w:bCs w:val="0"/>
          <w:kern w:val="0"/>
          <w:sz w:val="48"/>
          <w:szCs w:val="48"/>
        </w:rPr>
      </w:pPr>
    </w:p>
    <w:p>
      <w:pPr>
        <w:keepNext w:val="0"/>
        <w:keepLines w:val="0"/>
        <w:pageBreakBefore w:val="0"/>
        <w:kinsoku/>
        <w:wordWrap/>
        <w:overflowPunct/>
        <w:topLinePunct w:val="0"/>
        <w:autoSpaceDE/>
        <w:autoSpaceDN/>
        <w:bidi w:val="0"/>
        <w:adjustRightInd/>
        <w:spacing w:line="560" w:lineRule="exact"/>
        <w:ind w:left="0" w:leftChars="0" w:firstLine="960" w:firstLineChars="200"/>
        <w:jc w:val="center"/>
        <w:textAlignment w:val="auto"/>
        <w:rPr>
          <w:rFonts w:ascii="方正小标宋_GBK" w:hAnsi="华文中宋" w:eastAsia="方正小标宋_GBK" w:cs="宋体"/>
          <w:b w:val="0"/>
          <w:bCs w:val="0"/>
          <w:kern w:val="0"/>
          <w:sz w:val="48"/>
          <w:szCs w:val="48"/>
        </w:rPr>
      </w:pPr>
    </w:p>
    <w:p>
      <w:pPr>
        <w:keepNext w:val="0"/>
        <w:keepLines w:val="0"/>
        <w:pageBreakBefore w:val="0"/>
        <w:kinsoku/>
        <w:wordWrap/>
        <w:overflowPunct/>
        <w:topLinePunct w:val="0"/>
        <w:autoSpaceDE/>
        <w:autoSpaceDN/>
        <w:bidi w:val="0"/>
        <w:adjustRightInd/>
        <w:spacing w:line="560" w:lineRule="exact"/>
        <w:ind w:left="0" w:leftChars="0" w:firstLine="960" w:firstLineChars="200"/>
        <w:jc w:val="center"/>
        <w:textAlignment w:val="auto"/>
        <w:rPr>
          <w:rFonts w:ascii="方正小标宋_GBK" w:hAnsi="华文中宋" w:eastAsia="方正小标宋_GBK" w:cs="宋体"/>
          <w:b w:val="0"/>
          <w:bCs w:val="0"/>
          <w:kern w:val="0"/>
          <w:sz w:val="48"/>
          <w:szCs w:val="48"/>
        </w:rPr>
      </w:pPr>
    </w:p>
    <w:p>
      <w:pPr>
        <w:keepNext w:val="0"/>
        <w:keepLines w:val="0"/>
        <w:pageBreakBefore w:val="0"/>
        <w:kinsoku/>
        <w:wordWrap/>
        <w:overflowPunct/>
        <w:topLinePunct w:val="0"/>
        <w:autoSpaceDE/>
        <w:autoSpaceDN/>
        <w:bidi w:val="0"/>
        <w:adjustRightInd/>
        <w:spacing w:line="560" w:lineRule="exact"/>
        <w:ind w:left="0" w:leftChars="0" w:firstLine="960" w:firstLineChars="200"/>
        <w:jc w:val="center"/>
        <w:textAlignment w:val="auto"/>
        <w:rPr>
          <w:rFonts w:ascii="方正小标宋_GBK" w:hAnsi="华文中宋" w:eastAsia="方正小标宋_GBK" w:cs="宋体"/>
          <w:b w:val="0"/>
          <w:bCs w:val="0"/>
          <w:kern w:val="0"/>
          <w:sz w:val="48"/>
          <w:szCs w:val="48"/>
        </w:rPr>
      </w:pPr>
    </w:p>
    <w:p>
      <w:pPr>
        <w:keepNext w:val="0"/>
        <w:keepLines w:val="0"/>
        <w:pageBreakBefore w:val="0"/>
        <w:kinsoku/>
        <w:wordWrap/>
        <w:overflowPunct/>
        <w:topLinePunct w:val="0"/>
        <w:autoSpaceDE/>
        <w:autoSpaceDN/>
        <w:bidi w:val="0"/>
        <w:adjustRightInd/>
        <w:spacing w:line="560" w:lineRule="exact"/>
        <w:ind w:left="0" w:leftChars="0" w:firstLine="960" w:firstLineChars="200"/>
        <w:jc w:val="center"/>
        <w:textAlignment w:val="auto"/>
        <w:rPr>
          <w:rFonts w:ascii="方正小标宋_GBK" w:hAnsi="华文中宋" w:eastAsia="方正小标宋_GBK" w:cs="宋体"/>
          <w:b w:val="0"/>
          <w:bCs w:val="0"/>
          <w:kern w:val="0"/>
          <w:sz w:val="48"/>
          <w:szCs w:val="48"/>
        </w:rPr>
      </w:pPr>
    </w:p>
    <w:p>
      <w:pPr>
        <w:keepNext w:val="0"/>
        <w:keepLines w:val="0"/>
        <w:pageBreakBefore w:val="0"/>
        <w:kinsoku/>
        <w:wordWrap/>
        <w:overflowPunct/>
        <w:topLinePunct w:val="0"/>
        <w:autoSpaceDE/>
        <w:autoSpaceDN/>
        <w:bidi w:val="0"/>
        <w:adjustRightInd/>
        <w:spacing w:line="560" w:lineRule="exact"/>
        <w:ind w:left="0" w:leftChars="0" w:firstLine="960" w:firstLineChars="200"/>
        <w:jc w:val="center"/>
        <w:textAlignment w:val="auto"/>
        <w:rPr>
          <w:rFonts w:ascii="方正小标宋_GBK" w:hAnsi="华文中宋" w:eastAsia="方正小标宋_GBK" w:cs="宋体"/>
          <w:b w:val="0"/>
          <w:bCs w:val="0"/>
          <w:kern w:val="0"/>
          <w:sz w:val="48"/>
          <w:szCs w:val="48"/>
        </w:rPr>
      </w:pPr>
      <w:r>
        <w:rPr>
          <w:rFonts w:hint="eastAsia" w:ascii="方正小标宋_GBK" w:hAnsi="华文中宋" w:eastAsia="方正小标宋_GBK" w:cs="宋体"/>
          <w:b w:val="0"/>
          <w:bCs w:val="0"/>
          <w:kern w:val="0"/>
          <w:sz w:val="48"/>
          <w:szCs w:val="48"/>
        </w:rPr>
        <w:t>自治区本级部门单位整体支出绩效</w:t>
      </w:r>
    </w:p>
    <w:p>
      <w:pPr>
        <w:keepNext w:val="0"/>
        <w:keepLines w:val="0"/>
        <w:pageBreakBefore w:val="0"/>
        <w:kinsoku/>
        <w:wordWrap/>
        <w:overflowPunct/>
        <w:topLinePunct w:val="0"/>
        <w:autoSpaceDE/>
        <w:autoSpaceDN/>
        <w:bidi w:val="0"/>
        <w:adjustRightInd/>
        <w:spacing w:line="560" w:lineRule="exact"/>
        <w:ind w:left="0" w:leftChars="0" w:firstLine="960" w:firstLineChars="200"/>
        <w:jc w:val="center"/>
        <w:textAlignment w:val="auto"/>
        <w:rPr>
          <w:rFonts w:ascii="方正小标宋_GBK" w:hAnsi="华文中宋" w:eastAsia="方正小标宋_GBK" w:cs="宋体"/>
          <w:b w:val="0"/>
          <w:bCs w:val="0"/>
          <w:kern w:val="0"/>
          <w:sz w:val="48"/>
          <w:szCs w:val="48"/>
        </w:rPr>
      </w:pPr>
      <w:r>
        <w:rPr>
          <w:rFonts w:hint="eastAsia" w:ascii="方正小标宋_GBK" w:hAnsi="华文中宋" w:eastAsia="方正小标宋_GBK" w:cs="宋体"/>
          <w:b w:val="0"/>
          <w:bCs w:val="0"/>
          <w:kern w:val="0"/>
          <w:sz w:val="48"/>
          <w:szCs w:val="48"/>
        </w:rPr>
        <w:t>自评报告</w:t>
      </w:r>
    </w:p>
    <w:p>
      <w:pPr>
        <w:keepNext w:val="0"/>
        <w:keepLines w:val="0"/>
        <w:pageBreakBefore w:val="0"/>
        <w:kinsoku/>
        <w:wordWrap/>
        <w:overflowPunct/>
        <w:topLinePunct w:val="0"/>
        <w:autoSpaceDE/>
        <w:autoSpaceDN/>
        <w:bidi w:val="0"/>
        <w:adjustRightInd/>
        <w:spacing w:line="560" w:lineRule="exact"/>
        <w:ind w:left="0" w:leftChars="0" w:firstLine="1040" w:firstLineChars="200"/>
        <w:jc w:val="center"/>
        <w:textAlignment w:val="auto"/>
        <w:rPr>
          <w:rFonts w:ascii="华文中宋" w:hAnsi="华文中宋" w:eastAsia="华文中宋" w:cs="宋体"/>
          <w:b w:val="0"/>
          <w:bCs w:val="0"/>
          <w:kern w:val="0"/>
          <w:sz w:val="52"/>
          <w:szCs w:val="52"/>
        </w:rPr>
      </w:pPr>
    </w:p>
    <w:p>
      <w:pPr>
        <w:keepNext w:val="0"/>
        <w:keepLines w:val="0"/>
        <w:pageBreakBefore w:val="0"/>
        <w:kinsoku/>
        <w:wordWrap/>
        <w:overflowPunct/>
        <w:topLinePunct w:val="0"/>
        <w:autoSpaceDE/>
        <w:autoSpaceDN/>
        <w:bidi w:val="0"/>
        <w:adjustRightInd/>
        <w:spacing w:line="560" w:lineRule="exact"/>
        <w:ind w:left="0" w:leftChars="0" w:firstLine="720" w:firstLineChars="200"/>
        <w:jc w:val="center"/>
        <w:textAlignment w:val="auto"/>
        <w:rPr>
          <w:rFonts w:hAnsi="宋体" w:eastAsia="仿宋_GB2312" w:cs="宋体"/>
          <w:b w:val="0"/>
          <w:bCs w:val="0"/>
          <w:kern w:val="0"/>
          <w:sz w:val="36"/>
          <w:szCs w:val="36"/>
        </w:rPr>
      </w:pPr>
      <w:r>
        <w:rPr>
          <w:rFonts w:hint="eastAsia" w:hAnsi="宋体" w:eastAsia="仿宋_GB2312" w:cs="宋体"/>
          <w:b w:val="0"/>
          <w:bCs w:val="0"/>
          <w:kern w:val="0"/>
          <w:sz w:val="36"/>
          <w:szCs w:val="36"/>
        </w:rPr>
        <w:t>（</w:t>
      </w:r>
      <w:r>
        <w:rPr>
          <w:rFonts w:hint="eastAsia" w:ascii="仿宋_GB2312" w:hAnsi="宋体" w:eastAsia="仿宋_GB2312"/>
          <w:b w:val="0"/>
          <w:bCs w:val="0"/>
          <w:sz w:val="32"/>
          <w:szCs w:val="32"/>
        </w:rPr>
        <w:t>2024</w:t>
      </w:r>
      <w:r>
        <w:rPr>
          <w:rFonts w:hint="eastAsia" w:hAnsi="宋体" w:eastAsia="仿宋_GB2312" w:cs="宋体"/>
          <w:b w:val="0"/>
          <w:bCs w:val="0"/>
          <w:kern w:val="0"/>
          <w:sz w:val="36"/>
          <w:szCs w:val="36"/>
        </w:rPr>
        <w:t>年度）</w:t>
      </w:r>
    </w:p>
    <w:p>
      <w:pPr>
        <w:keepNext w:val="0"/>
        <w:keepLines w:val="0"/>
        <w:pageBreakBefore w:val="0"/>
        <w:kinsoku/>
        <w:wordWrap/>
        <w:overflowPunct/>
        <w:topLinePunct w:val="0"/>
        <w:autoSpaceDE/>
        <w:autoSpaceDN/>
        <w:bidi w:val="0"/>
        <w:adjustRightInd/>
        <w:spacing w:line="560" w:lineRule="exact"/>
        <w:ind w:left="0" w:leftChars="0" w:firstLine="600" w:firstLineChars="200"/>
        <w:jc w:val="center"/>
        <w:textAlignment w:val="auto"/>
        <w:rPr>
          <w:rFonts w:hAnsi="宋体" w:eastAsia="仿宋_GB2312" w:cs="宋体"/>
          <w:b w:val="0"/>
          <w:bCs w:val="0"/>
          <w:kern w:val="0"/>
          <w:sz w:val="30"/>
          <w:szCs w:val="30"/>
        </w:rPr>
      </w:pPr>
    </w:p>
    <w:p>
      <w:pPr>
        <w:keepNext w:val="0"/>
        <w:keepLines w:val="0"/>
        <w:pageBreakBefore w:val="0"/>
        <w:kinsoku/>
        <w:wordWrap/>
        <w:overflowPunct/>
        <w:topLinePunct w:val="0"/>
        <w:autoSpaceDE/>
        <w:autoSpaceDN/>
        <w:bidi w:val="0"/>
        <w:adjustRightInd/>
        <w:spacing w:line="560" w:lineRule="exact"/>
        <w:ind w:left="0" w:leftChars="0" w:firstLine="600" w:firstLineChars="200"/>
        <w:jc w:val="center"/>
        <w:textAlignment w:val="auto"/>
        <w:rPr>
          <w:rFonts w:hAnsi="宋体" w:eastAsia="仿宋_GB2312" w:cs="宋体"/>
          <w:b w:val="0"/>
          <w:bCs w:val="0"/>
          <w:kern w:val="0"/>
          <w:sz w:val="30"/>
          <w:szCs w:val="30"/>
        </w:rPr>
      </w:pPr>
    </w:p>
    <w:p>
      <w:pPr>
        <w:keepNext w:val="0"/>
        <w:keepLines w:val="0"/>
        <w:pageBreakBefore w:val="0"/>
        <w:kinsoku/>
        <w:wordWrap/>
        <w:overflowPunct/>
        <w:topLinePunct w:val="0"/>
        <w:autoSpaceDE/>
        <w:autoSpaceDN/>
        <w:bidi w:val="0"/>
        <w:adjustRightInd/>
        <w:spacing w:line="560" w:lineRule="exact"/>
        <w:ind w:left="0" w:leftChars="0" w:firstLine="600" w:firstLineChars="200"/>
        <w:jc w:val="center"/>
        <w:textAlignment w:val="auto"/>
        <w:rPr>
          <w:rFonts w:hAnsi="宋体" w:eastAsia="仿宋_GB2312" w:cs="宋体"/>
          <w:b w:val="0"/>
          <w:bCs w:val="0"/>
          <w:kern w:val="0"/>
          <w:sz w:val="30"/>
          <w:szCs w:val="30"/>
        </w:rPr>
      </w:pPr>
    </w:p>
    <w:p>
      <w:pPr>
        <w:keepNext w:val="0"/>
        <w:keepLines w:val="0"/>
        <w:pageBreakBefore w:val="0"/>
        <w:kinsoku/>
        <w:wordWrap/>
        <w:overflowPunct/>
        <w:topLinePunct w:val="0"/>
        <w:autoSpaceDE/>
        <w:autoSpaceDN/>
        <w:bidi w:val="0"/>
        <w:adjustRightInd/>
        <w:spacing w:line="560" w:lineRule="exact"/>
        <w:ind w:left="0" w:leftChars="0" w:firstLine="600" w:firstLineChars="200"/>
        <w:jc w:val="center"/>
        <w:textAlignment w:val="auto"/>
        <w:rPr>
          <w:rFonts w:hAnsi="宋体" w:eastAsia="仿宋_GB2312" w:cs="宋体"/>
          <w:b w:val="0"/>
          <w:bCs w:val="0"/>
          <w:kern w:val="0"/>
          <w:sz w:val="30"/>
          <w:szCs w:val="30"/>
        </w:rPr>
      </w:pPr>
    </w:p>
    <w:p>
      <w:pPr>
        <w:keepNext w:val="0"/>
        <w:keepLines w:val="0"/>
        <w:pageBreakBefore w:val="0"/>
        <w:kinsoku/>
        <w:wordWrap/>
        <w:overflowPunct/>
        <w:topLinePunct w:val="0"/>
        <w:autoSpaceDE/>
        <w:autoSpaceDN/>
        <w:bidi w:val="0"/>
        <w:adjustRightInd/>
        <w:spacing w:line="560" w:lineRule="exact"/>
        <w:ind w:left="0" w:leftChars="0" w:firstLine="600" w:firstLineChars="200"/>
        <w:jc w:val="center"/>
        <w:textAlignment w:val="auto"/>
        <w:rPr>
          <w:rFonts w:hAnsi="宋体" w:eastAsia="仿宋_GB2312" w:cs="宋体"/>
          <w:b w:val="0"/>
          <w:bCs w:val="0"/>
          <w:kern w:val="0"/>
          <w:sz w:val="30"/>
          <w:szCs w:val="30"/>
        </w:rPr>
      </w:pPr>
    </w:p>
    <w:p>
      <w:pPr>
        <w:keepNext w:val="0"/>
        <w:keepLines w:val="0"/>
        <w:pageBreakBefore w:val="0"/>
        <w:kinsoku/>
        <w:wordWrap/>
        <w:overflowPunct/>
        <w:topLinePunct w:val="0"/>
        <w:autoSpaceDE/>
        <w:autoSpaceDN/>
        <w:bidi w:val="0"/>
        <w:adjustRightInd/>
        <w:spacing w:line="560" w:lineRule="exact"/>
        <w:ind w:left="0" w:leftChars="0" w:firstLine="600" w:firstLineChars="200"/>
        <w:textAlignment w:val="auto"/>
        <w:rPr>
          <w:rFonts w:hAnsi="宋体" w:eastAsia="仿宋_GB2312" w:cs="宋体"/>
          <w:b w:val="0"/>
          <w:bCs w:val="0"/>
          <w:kern w:val="0"/>
          <w:sz w:val="30"/>
          <w:szCs w:val="30"/>
        </w:rPr>
      </w:pPr>
    </w:p>
    <w:p>
      <w:pPr>
        <w:keepNext w:val="0"/>
        <w:keepLines w:val="0"/>
        <w:pageBreakBefore w:val="0"/>
        <w:kinsoku/>
        <w:wordWrap/>
        <w:overflowPunct/>
        <w:topLinePunct w:val="0"/>
        <w:autoSpaceDE/>
        <w:autoSpaceDN/>
        <w:bidi w:val="0"/>
        <w:adjustRightInd/>
        <w:spacing w:line="560" w:lineRule="exact"/>
        <w:ind w:left="0" w:leftChars="0" w:firstLine="720" w:firstLineChars="200"/>
        <w:jc w:val="left"/>
        <w:textAlignment w:val="auto"/>
        <w:rPr>
          <w:rFonts w:hAnsi="宋体" w:eastAsia="仿宋_GB2312" w:cs="宋体"/>
          <w:b w:val="0"/>
          <w:bCs w:val="0"/>
          <w:kern w:val="0"/>
          <w:sz w:val="36"/>
          <w:szCs w:val="36"/>
        </w:rPr>
      </w:pPr>
      <w:r>
        <w:rPr>
          <w:rFonts w:hint="eastAsia" w:hAnsi="宋体" w:eastAsia="仿宋_GB2312" w:cs="宋体"/>
          <w:b w:val="0"/>
          <w:bCs w:val="0"/>
          <w:kern w:val="0"/>
          <w:sz w:val="36"/>
          <w:szCs w:val="36"/>
        </w:rPr>
        <w:t xml:space="preserve">  </w:t>
      </w:r>
    </w:p>
    <w:p>
      <w:pPr>
        <w:keepNext w:val="0"/>
        <w:keepLines w:val="0"/>
        <w:pageBreakBefore w:val="0"/>
        <w:kinsoku/>
        <w:wordWrap/>
        <w:overflowPunct/>
        <w:topLinePunct w:val="0"/>
        <w:autoSpaceDE/>
        <w:autoSpaceDN/>
        <w:bidi w:val="0"/>
        <w:adjustRightInd/>
        <w:spacing w:line="560" w:lineRule="exact"/>
        <w:ind w:left="4678" w:leftChars="342" w:hanging="3960" w:hangingChars="1100"/>
        <w:jc w:val="left"/>
        <w:textAlignment w:val="auto"/>
        <w:rPr>
          <w:rFonts w:hint="default" w:hAnsi="宋体" w:eastAsia="仿宋_GB2312" w:cs="宋体"/>
          <w:b w:val="0"/>
          <w:bCs w:val="0"/>
          <w:kern w:val="0"/>
          <w:sz w:val="36"/>
          <w:szCs w:val="36"/>
          <w:lang w:val="en-US" w:eastAsia="zh-CN"/>
        </w:rPr>
      </w:pPr>
      <w:r>
        <w:rPr>
          <w:rFonts w:hint="eastAsia" w:hAnsi="宋体" w:eastAsia="仿宋_GB2312" w:cs="宋体"/>
          <w:b w:val="0"/>
          <w:bCs w:val="0"/>
          <w:kern w:val="0"/>
          <w:sz w:val="36"/>
          <w:szCs w:val="36"/>
        </w:rPr>
        <w:t>部门单位名称（公章）：</w:t>
      </w:r>
      <w:r>
        <w:rPr>
          <w:rFonts w:hint="eastAsia" w:hAnsi="宋体" w:eastAsia="仿宋_GB2312" w:cs="宋体"/>
          <w:b w:val="0"/>
          <w:bCs w:val="0"/>
          <w:kern w:val="0"/>
          <w:sz w:val="36"/>
          <w:szCs w:val="36"/>
          <w:lang w:val="en-US" w:eastAsia="zh-CN"/>
        </w:rPr>
        <w:t>裕民县阿勒腾也木勒乡</w:t>
      </w:r>
      <w:bookmarkStart w:id="1" w:name="_GoBack"/>
      <w:bookmarkEnd w:id="1"/>
      <w:r>
        <w:rPr>
          <w:rFonts w:hint="eastAsia" w:hAnsi="宋体" w:eastAsia="仿宋_GB2312" w:cs="宋体"/>
          <w:b w:val="0"/>
          <w:bCs w:val="0"/>
          <w:kern w:val="0"/>
          <w:sz w:val="36"/>
          <w:szCs w:val="36"/>
          <w:lang w:val="en-US" w:eastAsia="zh-CN"/>
        </w:rPr>
        <w:t>人民政府</w:t>
      </w:r>
    </w:p>
    <w:p>
      <w:pPr>
        <w:keepNext w:val="0"/>
        <w:keepLines w:val="0"/>
        <w:pageBreakBefore w:val="0"/>
        <w:kinsoku/>
        <w:wordWrap/>
        <w:overflowPunct/>
        <w:topLinePunct w:val="0"/>
        <w:autoSpaceDE/>
        <w:autoSpaceDN/>
        <w:bidi w:val="0"/>
        <w:adjustRightInd/>
        <w:spacing w:line="560" w:lineRule="exact"/>
        <w:ind w:left="0" w:leftChars="0" w:firstLine="720" w:firstLineChars="200"/>
        <w:jc w:val="left"/>
        <w:textAlignment w:val="auto"/>
        <w:rPr>
          <w:rFonts w:hint="eastAsia" w:hAnsi="宋体" w:eastAsia="仿宋_GB2312" w:cs="宋体"/>
          <w:b w:val="0"/>
          <w:bCs w:val="0"/>
          <w:kern w:val="0"/>
          <w:sz w:val="36"/>
          <w:szCs w:val="36"/>
        </w:rPr>
      </w:pPr>
      <w:r>
        <w:rPr>
          <w:rFonts w:hint="eastAsia" w:hAnsi="宋体" w:eastAsia="仿宋_GB2312" w:cs="宋体"/>
          <w:b w:val="0"/>
          <w:bCs w:val="0"/>
          <w:kern w:val="0"/>
          <w:sz w:val="36"/>
          <w:szCs w:val="36"/>
        </w:rPr>
        <w:t>填报时间：</w:t>
      </w:r>
      <w:r>
        <w:rPr>
          <w:rFonts w:hint="eastAsia" w:hAnsi="宋体" w:eastAsia="仿宋_GB2312" w:cs="宋体"/>
          <w:b w:val="0"/>
          <w:bCs w:val="0"/>
          <w:kern w:val="0"/>
          <w:sz w:val="36"/>
          <w:szCs w:val="36"/>
          <w:lang w:val="en-US" w:eastAsia="zh-CN"/>
        </w:rPr>
        <w:t>2025</w:t>
      </w:r>
      <w:r>
        <w:rPr>
          <w:rFonts w:hint="eastAsia" w:hAnsi="宋体" w:eastAsia="仿宋_GB2312" w:cs="宋体"/>
          <w:b w:val="0"/>
          <w:bCs w:val="0"/>
          <w:kern w:val="0"/>
          <w:sz w:val="36"/>
          <w:szCs w:val="36"/>
        </w:rPr>
        <w:t>年</w:t>
      </w:r>
      <w:r>
        <w:rPr>
          <w:rFonts w:hint="eastAsia" w:hAnsi="宋体" w:eastAsia="仿宋_GB2312" w:cs="宋体"/>
          <w:b w:val="0"/>
          <w:bCs w:val="0"/>
          <w:kern w:val="0"/>
          <w:sz w:val="36"/>
          <w:szCs w:val="36"/>
          <w:lang w:val="en-US" w:eastAsia="zh-CN"/>
        </w:rPr>
        <w:t>4</w:t>
      </w:r>
      <w:r>
        <w:rPr>
          <w:rFonts w:hint="eastAsia" w:hAnsi="宋体" w:eastAsia="仿宋_GB2312" w:cs="宋体"/>
          <w:b w:val="0"/>
          <w:bCs w:val="0"/>
          <w:kern w:val="0"/>
          <w:sz w:val="36"/>
          <w:szCs w:val="36"/>
        </w:rPr>
        <w:t>月</w:t>
      </w:r>
      <w:r>
        <w:rPr>
          <w:rFonts w:hint="eastAsia" w:hAnsi="宋体" w:eastAsia="仿宋_GB2312" w:cs="宋体"/>
          <w:b w:val="0"/>
          <w:bCs w:val="0"/>
          <w:kern w:val="0"/>
          <w:sz w:val="36"/>
          <w:szCs w:val="36"/>
          <w:lang w:val="en-US" w:eastAsia="zh-CN"/>
        </w:rPr>
        <w:t>14</w:t>
      </w:r>
      <w:r>
        <w:rPr>
          <w:rFonts w:hint="eastAsia" w:hAnsi="宋体" w:eastAsia="仿宋_GB2312" w:cs="宋体"/>
          <w:b w:val="0"/>
          <w:bCs w:val="0"/>
          <w:kern w:val="0"/>
          <w:sz w:val="36"/>
          <w:szCs w:val="36"/>
        </w:rPr>
        <w:t>日</w:t>
      </w:r>
    </w:p>
    <w:p>
      <w:pPr>
        <w:keepNext w:val="0"/>
        <w:keepLines w:val="0"/>
        <w:pageBreakBefore w:val="0"/>
        <w:kinsoku/>
        <w:wordWrap/>
        <w:overflowPunct/>
        <w:topLinePunct w:val="0"/>
        <w:autoSpaceDE/>
        <w:autoSpaceDN/>
        <w:bidi w:val="0"/>
        <w:adjustRightInd/>
        <w:spacing w:line="560" w:lineRule="exact"/>
        <w:ind w:left="0" w:leftChars="0" w:firstLine="720" w:firstLineChars="200"/>
        <w:jc w:val="left"/>
        <w:textAlignment w:val="auto"/>
        <w:rPr>
          <w:rFonts w:hAnsi="宋体" w:eastAsia="仿宋_GB2312" w:cs="宋体"/>
          <w:b w:val="0"/>
          <w:bCs w:val="0"/>
          <w:kern w:val="0"/>
          <w:sz w:val="36"/>
          <w:szCs w:val="36"/>
        </w:rPr>
      </w:pPr>
    </w:p>
    <w:p>
      <w:pPr>
        <w:keepNext w:val="0"/>
        <w:keepLines w:val="0"/>
        <w:pageBreakBefore w:val="0"/>
        <w:kinsoku/>
        <w:wordWrap/>
        <w:overflowPunct/>
        <w:topLinePunct w:val="0"/>
        <w:autoSpaceDE/>
        <w:autoSpaceDN/>
        <w:bidi w:val="0"/>
        <w:adjustRightInd/>
        <w:spacing w:line="560" w:lineRule="exact"/>
        <w:ind w:left="0" w:leftChars="0" w:firstLine="720" w:firstLineChars="200"/>
        <w:jc w:val="left"/>
        <w:textAlignment w:val="auto"/>
        <w:rPr>
          <w:rFonts w:hAnsi="宋体" w:eastAsia="仿宋_GB2312" w:cs="宋体"/>
          <w:b w:val="0"/>
          <w:bCs w:val="0"/>
          <w:kern w:val="0"/>
          <w:sz w:val="36"/>
          <w:szCs w:val="36"/>
        </w:rPr>
      </w:pPr>
    </w:p>
    <w:p>
      <w:pPr>
        <w:keepNext w:val="0"/>
        <w:keepLines w:val="0"/>
        <w:pageBreakBefore w:val="0"/>
        <w:kinsoku/>
        <w:wordWrap/>
        <w:overflowPunct/>
        <w:topLinePunct w:val="0"/>
        <w:autoSpaceDE/>
        <w:autoSpaceDN/>
        <w:bidi w:val="0"/>
        <w:adjustRightInd/>
        <w:spacing w:line="560" w:lineRule="exact"/>
        <w:ind w:left="0" w:leftChars="0" w:firstLine="720" w:firstLineChars="200"/>
        <w:jc w:val="left"/>
        <w:textAlignment w:val="auto"/>
        <w:rPr>
          <w:rFonts w:hAnsi="宋体" w:eastAsia="仿宋_GB2312" w:cs="宋体"/>
          <w:b w:val="0"/>
          <w:bCs w:val="0"/>
          <w:kern w:val="0"/>
          <w:sz w:val="36"/>
          <w:szCs w:val="36"/>
        </w:rPr>
      </w:pPr>
    </w:p>
    <w:p>
      <w:pPr>
        <w:keepNext w:val="0"/>
        <w:keepLines w:val="0"/>
        <w:pageBreakBefore w:val="0"/>
        <w:numPr>
          <w:ilvl w:val="0"/>
          <w:numId w:val="1"/>
        </w:numPr>
        <w:kinsoku/>
        <w:wordWrap/>
        <w:overflowPunct/>
        <w:topLinePunct w:val="0"/>
        <w:autoSpaceDE/>
        <w:autoSpaceDN/>
        <w:bidi w:val="0"/>
        <w:adjustRightInd/>
        <w:snapToGrid w:val="0"/>
        <w:spacing w:line="560" w:lineRule="exact"/>
        <w:ind w:left="0" w:leftChars="0" w:firstLine="640" w:firstLineChars="200"/>
        <w:textAlignment w:val="auto"/>
        <w:rPr>
          <w:rFonts w:ascii="黑体" w:hAnsi="黑体" w:eastAsia="黑体" w:cs="宋体"/>
          <w:b w:val="0"/>
          <w:bCs w:val="0"/>
          <w:color w:val="333333"/>
          <w:sz w:val="32"/>
          <w:szCs w:val="32"/>
        </w:rPr>
      </w:pPr>
      <w:r>
        <w:rPr>
          <w:rFonts w:hint="eastAsia" w:ascii="黑体" w:hAnsi="黑体" w:eastAsia="黑体" w:cs="宋体"/>
          <w:b w:val="0"/>
          <w:bCs w:val="0"/>
          <w:color w:val="333333"/>
          <w:sz w:val="32"/>
          <w:szCs w:val="32"/>
        </w:rPr>
        <w:t>基本概况</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319" w:leftChars="152" w:firstLine="320" w:firstLineChars="100"/>
        <w:jc w:val="left"/>
        <w:textAlignment w:val="auto"/>
        <w:rPr>
          <w:rFonts w:hint="eastAsia" w:ascii="仿宋_GB2312" w:hAnsi="宋体" w:eastAsia="仿宋_GB2312"/>
          <w:b w:val="0"/>
          <w:bCs w:val="0"/>
          <w:sz w:val="32"/>
          <w:szCs w:val="32"/>
        </w:rPr>
      </w:pPr>
      <w:r>
        <w:rPr>
          <w:rFonts w:hint="eastAsia" w:ascii="仿宋_GB2312" w:hAnsi="宋体" w:eastAsia="仿宋_GB2312"/>
          <w:b w:val="0"/>
          <w:bCs w:val="0"/>
          <w:sz w:val="32"/>
          <w:szCs w:val="32"/>
        </w:rPr>
        <w:t>部门单位基本情况</w:t>
      </w:r>
    </w:p>
    <w:p>
      <w:pPr>
        <w:keepNext w:val="0"/>
        <w:keepLines w:val="0"/>
        <w:pageBreakBefore w:val="0"/>
        <w:widowControl w:val="0"/>
        <w:numPr>
          <w:numId w:val="0"/>
        </w:numPr>
        <w:kinsoku/>
        <w:wordWrap/>
        <w:overflowPunct/>
        <w:topLinePunct w:val="0"/>
        <w:autoSpaceDE/>
        <w:autoSpaceDN/>
        <w:bidi w:val="0"/>
        <w:adjustRightInd/>
        <w:snapToGrid/>
        <w:spacing w:line="560" w:lineRule="exact"/>
        <w:ind w:left="319" w:leftChars="152" w:firstLine="320" w:firstLineChars="100"/>
        <w:jc w:val="left"/>
        <w:textAlignment w:val="auto"/>
        <w:rPr>
          <w:rFonts w:hint="eastAsia" w:ascii="仿宋_GB2312" w:hAnsi="宋体" w:eastAsia="仿宋_GB2312"/>
          <w:b w:val="0"/>
          <w:bCs w:val="0"/>
          <w:sz w:val="32"/>
          <w:szCs w:val="32"/>
        </w:rPr>
      </w:pPr>
      <w:r>
        <w:rPr>
          <w:rFonts w:hint="eastAsia" w:ascii="仿宋_GB2312" w:hAnsi="宋体" w:eastAsia="仿宋_GB2312"/>
          <w:b w:val="0"/>
          <w:bCs w:val="0"/>
          <w:sz w:val="32"/>
          <w:szCs w:val="32"/>
        </w:rPr>
        <w:t>1.主要职能</w:t>
      </w:r>
      <w:r>
        <w:rPr>
          <w:rFonts w:hint="eastAsia" w:ascii="仿宋_GB2312" w:hAnsi="宋体" w:eastAsia="仿宋_GB2312"/>
          <w:b w:val="0"/>
          <w:bCs w:val="0"/>
          <w:sz w:val="32"/>
          <w:szCs w:val="32"/>
        </w:rPr>
        <w:br w:type="textWrapping"/>
      </w:r>
      <w:r>
        <w:rPr>
          <w:rFonts w:hint="eastAsia" w:ascii="仿宋_GB2312" w:hAnsi="宋体" w:eastAsia="仿宋_GB2312"/>
          <w:b w:val="0"/>
          <w:bCs w:val="0"/>
          <w:sz w:val="32"/>
          <w:szCs w:val="32"/>
        </w:rPr>
        <w:t>（1）负责文秘、档案、保密翻译、综合协调和后勤保障等工作；负责制定乡机关各项工作制度、承担机关政策调研、政务公开等工作并监督落实；负责乡机关效能建设和绩效考核工作；负责机关、派驻机构、事业机构的协调和综合服务工作；协助做好乡人武部工作。</w:t>
      </w:r>
      <w:r>
        <w:rPr>
          <w:rFonts w:hint="eastAsia" w:ascii="仿宋_GB2312" w:hAnsi="宋体" w:eastAsia="仿宋_GB2312"/>
          <w:b w:val="0"/>
          <w:bCs w:val="0"/>
          <w:sz w:val="32"/>
          <w:szCs w:val="32"/>
        </w:rPr>
        <w:br w:type="textWrapping"/>
      </w:r>
      <w:r>
        <w:rPr>
          <w:rFonts w:hint="eastAsia" w:ascii="仿宋_GB2312" w:hAnsi="宋体" w:eastAsia="仿宋_GB2312"/>
          <w:b w:val="0"/>
          <w:bCs w:val="0"/>
          <w:sz w:val="32"/>
          <w:szCs w:val="32"/>
        </w:rPr>
        <w:t>（2）负责党务、组织、</w:t>
      </w:r>
      <w:r>
        <w:rPr>
          <w:rFonts w:hint="eastAsia" w:ascii="仿宋_GB2312" w:hAnsi="宋体" w:eastAsia="仿宋_GB2312"/>
          <w:b w:val="0"/>
          <w:bCs w:val="0"/>
          <w:sz w:val="32"/>
          <w:szCs w:val="32"/>
          <w:lang w:eastAsia="zh-CN"/>
        </w:rPr>
        <w:t>JJ</w:t>
      </w:r>
      <w:r>
        <w:rPr>
          <w:rFonts w:hint="eastAsia" w:ascii="仿宋_GB2312" w:hAnsi="宋体" w:eastAsia="仿宋_GB2312"/>
          <w:b w:val="0"/>
          <w:bCs w:val="0"/>
          <w:sz w:val="32"/>
          <w:szCs w:val="32"/>
        </w:rPr>
        <w:t>监察、宣传、人事和老干部等工作的规划、管理、协调和监督；负责宣传党的各项方针政策；负责党的基层组织建设和党员队伍建设工作；负责党建引领基层治理和基层政权建设、“两企三新”党建、社会工作人才队伍建设等工作；负责</w:t>
      </w:r>
      <w:r>
        <w:rPr>
          <w:rFonts w:hint="eastAsia" w:ascii="仿宋_GB2312" w:hAnsi="宋体" w:eastAsia="仿宋_GB2312"/>
          <w:b w:val="0"/>
          <w:bCs w:val="0"/>
          <w:sz w:val="32"/>
          <w:szCs w:val="32"/>
          <w:lang w:eastAsia="zh-CN"/>
        </w:rPr>
        <w:t>JJ</w:t>
      </w:r>
      <w:r>
        <w:rPr>
          <w:rFonts w:hint="eastAsia" w:ascii="仿宋_GB2312" w:hAnsi="宋体" w:eastAsia="仿宋_GB2312"/>
          <w:b w:val="0"/>
          <w:bCs w:val="0"/>
          <w:sz w:val="32"/>
          <w:szCs w:val="32"/>
        </w:rPr>
        <w:t>监察、党风廉政建设工作;负责人大、团委、工会、妇联等群团组织工作；负责政协委员的联络工作；负责驻村工作、农牧民学校、村考核工作。</w:t>
      </w:r>
      <w:r>
        <w:rPr>
          <w:rFonts w:hint="eastAsia" w:ascii="仿宋_GB2312" w:hAnsi="宋体" w:eastAsia="仿宋_GB2312"/>
          <w:b w:val="0"/>
          <w:bCs w:val="0"/>
          <w:sz w:val="32"/>
          <w:szCs w:val="32"/>
        </w:rPr>
        <w:br w:type="textWrapping"/>
      </w:r>
      <w:r>
        <w:rPr>
          <w:rFonts w:hint="eastAsia" w:ascii="仿宋_GB2312" w:hAnsi="宋体" w:eastAsia="仿宋_GB2312"/>
          <w:b w:val="0"/>
          <w:bCs w:val="0"/>
          <w:sz w:val="32"/>
          <w:szCs w:val="32"/>
        </w:rPr>
        <w:t>（3）负责农业、林业、畜牧、草原、水利、财政、土地、交通、乡村振兴、新型城镇化、村镇建设，一、二、三产业的规划、管理、协调和监督工作；负责拟订经济发展、产业结构调整规划、计划并组织实施；负责辖区内政府购买社会服务项目的设计和采购；贯彻落实统筹城乡发展、加快推进城乡一体化和乡村振兴工作总体部署和目标任务；负责各类惠民资金、涉农补贴等发放工作；负责农村经济管理、财务管理等工作；负责农村集体经济，为农村集体经济健康发展提供保障和服务工作；负责乡政府财政预算决算的编制、办理各项收支结算和对账、报账工作；履行统计职责。</w:t>
      </w:r>
      <w:r>
        <w:rPr>
          <w:rFonts w:hint="eastAsia" w:ascii="仿宋_GB2312" w:hAnsi="宋体" w:eastAsia="仿宋_GB2312"/>
          <w:b w:val="0"/>
          <w:bCs w:val="0"/>
          <w:sz w:val="32"/>
          <w:szCs w:val="32"/>
        </w:rPr>
        <w:br w:type="textWrapping"/>
      </w:r>
      <w:r>
        <w:rPr>
          <w:rFonts w:hint="eastAsia" w:ascii="仿宋_GB2312" w:hAnsi="宋体" w:eastAsia="仿宋_GB2312"/>
          <w:b w:val="0"/>
          <w:bCs w:val="0"/>
          <w:sz w:val="32"/>
          <w:szCs w:val="32"/>
        </w:rPr>
        <w:t>（4）负责政法、社会治安综合治理、统战、民族</w:t>
      </w:r>
      <w:r>
        <w:rPr>
          <w:rFonts w:hint="eastAsia" w:ascii="仿宋_GB2312" w:hAnsi="宋体" w:eastAsia="仿宋_GB2312"/>
          <w:b w:val="0"/>
          <w:bCs w:val="0"/>
          <w:sz w:val="32"/>
          <w:szCs w:val="32"/>
          <w:lang w:eastAsia="zh-CN"/>
        </w:rPr>
        <w:t>ZJ</w:t>
      </w:r>
      <w:r>
        <w:rPr>
          <w:rFonts w:hint="eastAsia" w:ascii="仿宋_GB2312" w:hAnsi="宋体" w:eastAsia="仿宋_GB2312"/>
          <w:b w:val="0"/>
          <w:bCs w:val="0"/>
          <w:sz w:val="32"/>
          <w:szCs w:val="32"/>
        </w:rPr>
        <w:t>、信访、司法、教育、科技、文化、卫生健康、体育、广播电视、旅游、</w:t>
      </w:r>
      <w:r>
        <w:rPr>
          <w:rFonts w:hint="eastAsia" w:ascii="仿宋_GB2312" w:hAnsi="宋体" w:eastAsia="仿宋_GB2312"/>
          <w:b w:val="0"/>
          <w:bCs w:val="0"/>
          <w:sz w:val="32"/>
          <w:szCs w:val="32"/>
          <w:lang w:eastAsia="zh-CN"/>
        </w:rPr>
        <w:t>JHSY</w:t>
      </w:r>
      <w:r>
        <w:rPr>
          <w:rFonts w:hint="eastAsia" w:ascii="仿宋_GB2312" w:hAnsi="宋体" w:eastAsia="仿宋_GB2312"/>
          <w:b w:val="0"/>
          <w:bCs w:val="0"/>
          <w:sz w:val="32"/>
          <w:szCs w:val="32"/>
        </w:rPr>
        <w:t>、安全生产、应急管理、民政、劳动就业、社会保障、社会救助、退役军人、残疾人事业的规划、管理、协调和监督工作；负责拟订社会发展规划、计划并组织实施。</w:t>
      </w:r>
      <w:r>
        <w:rPr>
          <w:rFonts w:hint="eastAsia" w:ascii="仿宋_GB2312" w:hAnsi="宋体" w:eastAsia="仿宋_GB2312"/>
          <w:b w:val="0"/>
          <w:bCs w:val="0"/>
          <w:sz w:val="32"/>
          <w:szCs w:val="32"/>
        </w:rPr>
        <w:br w:type="textWrapping"/>
      </w:r>
      <w:r>
        <w:rPr>
          <w:rFonts w:hint="eastAsia" w:ascii="仿宋_GB2312" w:hAnsi="宋体" w:eastAsia="仿宋_GB2312"/>
          <w:b w:val="0"/>
          <w:bCs w:val="0"/>
          <w:sz w:val="32"/>
          <w:szCs w:val="32"/>
        </w:rPr>
        <w:t>（5）负责综合行政执法工作的规划、管理、协调和监督工作；负责拟订综合行政执法队伍统一的运行管理制度；负责完善综合执法体制机制；负责联系协调县政府相关行政部门派驻乡执法人员以及乡执法人员在辖区内开展综合行政执法工作；承担行政执法的日常监督管理工作；承担行政执法人员业务和法律法规培训工作；承担权责清单动态调整相关工作。</w:t>
      </w:r>
      <w:r>
        <w:rPr>
          <w:rFonts w:hint="eastAsia" w:ascii="仿宋_GB2312" w:hAnsi="宋体" w:eastAsia="仿宋_GB2312"/>
          <w:b w:val="0"/>
          <w:bCs w:val="0"/>
          <w:sz w:val="32"/>
          <w:szCs w:val="32"/>
        </w:rPr>
        <w:br w:type="textWrapping"/>
      </w:r>
      <w:r>
        <w:rPr>
          <w:rFonts w:hint="eastAsia" w:ascii="仿宋_GB2312" w:hAnsi="宋体" w:eastAsia="仿宋_GB2312"/>
          <w:b w:val="0"/>
          <w:bCs w:val="0"/>
          <w:sz w:val="32"/>
          <w:szCs w:val="32"/>
        </w:rPr>
        <w:t>（6）负责组织开展文化、宣传、科技、体育广播电视、旅游等方面的服务工作，协助乡政府制定相应的工作发展规划和年度计划并组织实施；负责为党的基层组织建设和党员队伍建设提供服务工作；负责组织开展辖区村民的宣传、发动、服务工作；负责驻村工作；负责辖区内社团组织的培育、发展和管理;负责农牧民学校、图书室、志愿者等群众工作机制的落实，并不断拓展教育服务群众的形式和载体。</w:t>
      </w:r>
      <w:r>
        <w:rPr>
          <w:rFonts w:hint="eastAsia" w:ascii="仿宋_GB2312" w:hAnsi="宋体" w:eastAsia="仿宋_GB2312"/>
          <w:b w:val="0"/>
          <w:bCs w:val="0"/>
          <w:sz w:val="32"/>
          <w:szCs w:val="32"/>
        </w:rPr>
        <w:br w:type="textWrapping"/>
      </w:r>
      <w:r>
        <w:rPr>
          <w:rFonts w:hint="eastAsia" w:ascii="仿宋_GB2312" w:hAnsi="宋体" w:eastAsia="仿宋_GB2312"/>
          <w:b w:val="0"/>
          <w:bCs w:val="0"/>
          <w:sz w:val="32"/>
          <w:szCs w:val="32"/>
        </w:rPr>
        <w:t>（7）负责农业、林业、畜牧、草原、水利等方面的服</w:t>
      </w:r>
      <w:r>
        <w:rPr>
          <w:rFonts w:hint="eastAsia" w:ascii="仿宋_GB2312" w:hAnsi="宋体" w:eastAsia="仿宋_GB2312"/>
          <w:b w:val="0"/>
          <w:bCs w:val="0"/>
          <w:sz w:val="32"/>
          <w:szCs w:val="32"/>
        </w:rPr>
        <w:br w:type="textWrapping"/>
      </w:r>
      <w:r>
        <w:rPr>
          <w:rFonts w:hint="eastAsia" w:ascii="仿宋_GB2312" w:hAnsi="宋体" w:eastAsia="仿宋_GB2312"/>
          <w:b w:val="0"/>
          <w:bCs w:val="0"/>
          <w:sz w:val="32"/>
          <w:szCs w:val="32"/>
        </w:rPr>
        <w:t>务工作，协助乡政府制定相应的工作发展规划和年度计划并组织实施。</w:t>
      </w:r>
      <w:r>
        <w:rPr>
          <w:rFonts w:hint="eastAsia" w:ascii="仿宋_GB2312" w:hAnsi="宋体" w:eastAsia="仿宋_GB2312"/>
          <w:b w:val="0"/>
          <w:bCs w:val="0"/>
          <w:sz w:val="32"/>
          <w:szCs w:val="32"/>
        </w:rPr>
        <w:br w:type="textWrapping"/>
      </w:r>
      <w:r>
        <w:rPr>
          <w:rFonts w:hint="eastAsia" w:ascii="仿宋_GB2312" w:hAnsi="宋体" w:eastAsia="仿宋_GB2312"/>
          <w:b w:val="0"/>
          <w:bCs w:val="0"/>
          <w:sz w:val="32"/>
          <w:szCs w:val="32"/>
        </w:rPr>
        <w:t>（8）负责民政、教育、</w:t>
      </w:r>
      <w:r>
        <w:rPr>
          <w:rFonts w:hint="eastAsia" w:ascii="仿宋_GB2312" w:hAnsi="宋体" w:eastAsia="仿宋_GB2312"/>
          <w:b w:val="0"/>
          <w:bCs w:val="0"/>
          <w:sz w:val="32"/>
          <w:szCs w:val="32"/>
          <w:lang w:eastAsia="zh-CN"/>
        </w:rPr>
        <w:t>JHSY</w:t>
      </w:r>
      <w:r>
        <w:rPr>
          <w:rFonts w:hint="eastAsia" w:ascii="仿宋_GB2312" w:hAnsi="宋体" w:eastAsia="仿宋_GB2312"/>
          <w:b w:val="0"/>
          <w:bCs w:val="0"/>
          <w:sz w:val="32"/>
          <w:szCs w:val="32"/>
        </w:rPr>
        <w:t>、劳动就业、社会保障、社会救助、社会医保、医疗救助、退役军人残疾人事业等方面的服务工作，协助乡政府制定相应的工作发展规划和年度计划并组织实施；负责规范便民服务中心制度建设并组织实施，按权限做好审批事项、群众服务事项的受理、办理工作，并向辖区群众提供党的各项惠民政策咨询服务；负责特殊群体的帮教帮扶、解决群众困难诉求等工作。</w:t>
      </w:r>
      <w:r>
        <w:rPr>
          <w:rFonts w:hint="eastAsia" w:ascii="仿宋_GB2312" w:hAnsi="宋体" w:eastAsia="仿宋_GB2312"/>
          <w:b w:val="0"/>
          <w:bCs w:val="0"/>
          <w:sz w:val="32"/>
          <w:szCs w:val="32"/>
        </w:rPr>
        <w:br w:type="textWrapping"/>
      </w:r>
      <w:r>
        <w:rPr>
          <w:rFonts w:hint="eastAsia" w:ascii="仿宋_GB2312" w:hAnsi="宋体" w:eastAsia="仿宋_GB2312"/>
          <w:b w:val="0"/>
          <w:bCs w:val="0"/>
          <w:sz w:val="32"/>
          <w:szCs w:val="32"/>
        </w:rPr>
        <w:t>（9）负责国土资源、规划建设、园林绿化、环境保护、</w:t>
      </w:r>
      <w:r>
        <w:rPr>
          <w:rFonts w:hint="eastAsia" w:ascii="仿宋_GB2312" w:hAnsi="宋体" w:eastAsia="仿宋_GB2312"/>
          <w:b w:val="0"/>
          <w:bCs w:val="0"/>
          <w:sz w:val="32"/>
          <w:szCs w:val="32"/>
        </w:rPr>
        <w:br w:type="textWrapping"/>
      </w:r>
      <w:r>
        <w:rPr>
          <w:rFonts w:hint="eastAsia" w:ascii="仿宋_GB2312" w:hAnsi="宋体" w:eastAsia="仿宋_GB2312"/>
          <w:b w:val="0"/>
          <w:bCs w:val="0"/>
          <w:sz w:val="32"/>
          <w:szCs w:val="32"/>
        </w:rPr>
        <w:t>交通等方面的服务工作，协助乡政府制定相应的工作发展规划和年度计划并组织实施；协助乡政府贯彻落实统筹城乡发展、加快推进城乡一体化和乡村振兴工作总体部署和目标任务。</w:t>
      </w:r>
      <w:r>
        <w:rPr>
          <w:rFonts w:hint="eastAsia" w:ascii="仿宋_GB2312" w:hAnsi="宋体" w:eastAsia="仿宋_GB2312"/>
          <w:b w:val="0"/>
          <w:bCs w:val="0"/>
          <w:sz w:val="32"/>
          <w:szCs w:val="32"/>
        </w:rPr>
        <w:br w:type="textWrapping"/>
      </w:r>
      <w:r>
        <w:rPr>
          <w:rFonts w:hint="eastAsia" w:ascii="仿宋_GB2312" w:hAnsi="宋体" w:eastAsia="仿宋_GB2312"/>
          <w:b w:val="0"/>
          <w:bCs w:val="0"/>
          <w:sz w:val="32"/>
          <w:szCs w:val="32"/>
        </w:rPr>
        <w:t>（10）负责社会治安综合治理、法治建设、平安创建网格化管理、安全生产、应急管理、人民武装等服务工作，协助乡政府制定相应的工作规划、年度计划并组织实施；负责群众信访、矛盾纠纷调解、安置帮教、社区矫正、普法、预防未成年人违法犯罪等工作；负责流动人口管理工作；负责管理、指导基层网格员队伍等工作。</w:t>
      </w:r>
      <w:r>
        <w:rPr>
          <w:rFonts w:hint="eastAsia" w:ascii="仿宋_GB2312" w:hAnsi="宋体" w:eastAsia="仿宋_GB2312"/>
          <w:b w:val="0"/>
          <w:bCs w:val="0"/>
          <w:sz w:val="32"/>
          <w:szCs w:val="32"/>
        </w:rPr>
        <w:br w:type="textWrapping"/>
      </w:r>
      <w:r>
        <w:rPr>
          <w:rFonts w:hint="eastAsia" w:ascii="仿宋_GB2312" w:hAnsi="宋体" w:eastAsia="仿宋_GB2312"/>
          <w:b w:val="0"/>
          <w:bCs w:val="0"/>
          <w:sz w:val="32"/>
          <w:szCs w:val="32"/>
        </w:rPr>
        <w:t>（11）完成县委、县人民政府交办的其他事项。</w:t>
      </w:r>
      <w:r>
        <w:rPr>
          <w:rFonts w:hint="eastAsia" w:ascii="仿宋_GB2312" w:hAnsi="宋体" w:eastAsia="仿宋_GB2312"/>
          <w:b w:val="0"/>
          <w:bCs w:val="0"/>
          <w:sz w:val="32"/>
          <w:szCs w:val="32"/>
        </w:rPr>
        <w:br w:type="textWrapping"/>
      </w:r>
      <w:r>
        <w:rPr>
          <w:rFonts w:hint="eastAsia" w:ascii="仿宋_GB2312" w:hAnsi="宋体" w:eastAsia="仿宋_GB2312"/>
          <w:b w:val="0"/>
          <w:bCs w:val="0"/>
          <w:sz w:val="32"/>
          <w:szCs w:val="32"/>
        </w:rPr>
        <w:t>2.机构设置及人员情况</w:t>
      </w:r>
      <w:r>
        <w:rPr>
          <w:rFonts w:hint="eastAsia" w:ascii="仿宋_GB2312" w:hAnsi="宋体" w:eastAsia="仿宋_GB2312"/>
          <w:b w:val="0"/>
          <w:bCs w:val="0"/>
          <w:sz w:val="32"/>
          <w:szCs w:val="32"/>
        </w:rPr>
        <w:br w:type="textWrapping"/>
      </w:r>
      <w:r>
        <w:rPr>
          <w:rFonts w:hint="eastAsia" w:ascii="仿宋_GB2312" w:hAnsi="宋体" w:eastAsia="仿宋_GB2312"/>
          <w:b w:val="0"/>
          <w:bCs w:val="0"/>
          <w:sz w:val="32"/>
          <w:szCs w:val="32"/>
        </w:rPr>
        <w:t>阿勒腾也木勒乡人民政府为行政单位，下设5个综合办公室，分别为：党政综合办公室、党建工作办公室、经济发展和财政办公室、社会事务办公室（退役军人服务站）、综合执法办公室。下设五中心，分别为：公共文化服务中心、农业发展服务中心、便民服务中心、村镇建设发展中心、综治和网格化服务中心。</w:t>
      </w:r>
      <w:r>
        <w:rPr>
          <w:rFonts w:hint="eastAsia" w:ascii="仿宋_GB2312" w:hAnsi="宋体" w:eastAsia="仿宋_GB2312"/>
          <w:b w:val="0"/>
          <w:bCs w:val="0"/>
          <w:sz w:val="32"/>
          <w:szCs w:val="32"/>
        </w:rPr>
        <w:br w:type="textWrapping"/>
      </w:r>
      <w:r>
        <w:rPr>
          <w:rFonts w:hint="eastAsia" w:ascii="仿宋_GB2312" w:hAnsi="宋体" w:eastAsia="仿宋_GB2312"/>
          <w:b w:val="0"/>
          <w:bCs w:val="0"/>
          <w:sz w:val="32"/>
          <w:szCs w:val="32"/>
        </w:rPr>
        <w:t>阿勒腾也木勒乡人民政府编制数82，实有人数81人，其中：在职81人，减少1人；退休40人，增加4人。</w:t>
      </w:r>
      <w:bookmarkStart w:id="0" w:name="_Hlk43849111"/>
      <w:bookmarkEnd w:id="0"/>
    </w:p>
    <w:p>
      <w:pPr>
        <w:keepNext w:val="0"/>
        <w:keepLines w:val="0"/>
        <w:pageBreakBefore w:val="0"/>
        <w:numPr>
          <w:ilvl w:val="0"/>
          <w:numId w:val="1"/>
        </w:numPr>
        <w:kinsoku/>
        <w:wordWrap/>
        <w:overflowPunct/>
        <w:topLinePunct w:val="0"/>
        <w:autoSpaceDE/>
        <w:autoSpaceDN/>
        <w:bidi w:val="0"/>
        <w:adjustRightInd/>
        <w:snapToGrid w:val="0"/>
        <w:spacing w:line="560" w:lineRule="exact"/>
        <w:ind w:left="0" w:leftChars="0" w:firstLine="640" w:firstLineChars="200"/>
        <w:textAlignment w:val="auto"/>
        <w:rPr>
          <w:rFonts w:ascii="黑体" w:hAnsi="黑体" w:eastAsia="黑体" w:cs="宋体"/>
          <w:b w:val="0"/>
          <w:bCs w:val="0"/>
          <w:color w:val="333333"/>
          <w:sz w:val="32"/>
          <w:szCs w:val="32"/>
        </w:rPr>
      </w:pPr>
      <w:r>
        <w:rPr>
          <w:rFonts w:hint="eastAsia" w:ascii="黑体" w:hAnsi="黑体" w:eastAsia="黑体" w:cs="宋体"/>
          <w:b w:val="0"/>
          <w:bCs w:val="0"/>
          <w:color w:val="333333"/>
          <w:sz w:val="32"/>
          <w:szCs w:val="32"/>
        </w:rPr>
        <w:t>部门单位整体支出管理及使用情况</w:t>
      </w:r>
    </w:p>
    <w:p>
      <w:pPr>
        <w:keepNext w:val="0"/>
        <w:keepLines w:val="0"/>
        <w:pageBreakBefore w:val="0"/>
        <w:kinsoku/>
        <w:wordWrap/>
        <w:overflowPunct/>
        <w:topLinePunct w:val="0"/>
        <w:autoSpaceDE/>
        <w:autoSpaceDN/>
        <w:bidi w:val="0"/>
        <w:adjustRightInd/>
        <w:spacing w:line="560" w:lineRule="exact"/>
        <w:ind w:left="0" w:leftChars="0" w:firstLine="640" w:firstLineChars="200"/>
        <w:jc w:val="left"/>
        <w:textAlignment w:val="auto"/>
        <w:rPr>
          <w:rFonts w:ascii="仿宋_GB2312" w:hAnsi="宋体" w:eastAsia="仿宋_GB2312"/>
          <w:b w:val="0"/>
          <w:bCs w:val="0"/>
          <w:sz w:val="32"/>
          <w:szCs w:val="32"/>
        </w:rPr>
      </w:pPr>
      <w:r>
        <w:rPr>
          <w:rFonts w:hint="eastAsia" w:ascii="黑体" w:hAnsi="黑体" w:eastAsia="黑体" w:cs="宋体"/>
          <w:b w:val="0"/>
          <w:bCs w:val="0"/>
          <w:color w:val="333333"/>
          <w:sz w:val="32"/>
          <w:szCs w:val="32"/>
        </w:rPr>
        <w:t xml:space="preserve"> </w:t>
      </w:r>
      <w:r>
        <w:rPr>
          <w:rFonts w:ascii="黑体" w:hAnsi="黑体" w:eastAsia="黑体" w:cs="宋体"/>
          <w:b w:val="0"/>
          <w:bCs w:val="0"/>
          <w:color w:val="333333"/>
          <w:sz w:val="32"/>
          <w:szCs w:val="32"/>
        </w:rPr>
        <w:t xml:space="preserve">  </w:t>
      </w:r>
      <w:r>
        <w:rPr>
          <w:rFonts w:hint="eastAsia" w:ascii="仿宋_GB2312" w:hAnsi="宋体" w:eastAsia="仿宋_GB2312"/>
          <w:b w:val="0"/>
          <w:bCs w:val="0"/>
          <w:sz w:val="32"/>
          <w:szCs w:val="32"/>
        </w:rPr>
        <w:t>1.年度总体目标</w:t>
      </w:r>
      <w:r>
        <w:rPr>
          <w:rFonts w:hint="eastAsia" w:ascii="仿宋_GB2312" w:hAnsi="宋体" w:eastAsia="仿宋_GB2312"/>
          <w:b w:val="0"/>
          <w:bCs w:val="0"/>
          <w:sz w:val="32"/>
          <w:szCs w:val="32"/>
        </w:rPr>
        <w:br w:type="textWrapping"/>
      </w:r>
      <w:r>
        <w:rPr>
          <w:rFonts w:hint="eastAsia" w:ascii="仿宋_GB2312" w:hAnsi="宋体" w:eastAsia="仿宋_GB2312"/>
          <w:b w:val="0"/>
          <w:bCs w:val="0"/>
          <w:sz w:val="32"/>
          <w:szCs w:val="32"/>
        </w:rPr>
        <w:t>（1）保障阿勒腾也木勒乡政府2024年干部职工人员工资、社保缴费、住房公积金等正常发放；</w:t>
      </w:r>
      <w:r>
        <w:rPr>
          <w:rFonts w:hint="eastAsia" w:ascii="仿宋_GB2312" w:hAnsi="宋体" w:eastAsia="仿宋_GB2312"/>
          <w:b w:val="0"/>
          <w:bCs w:val="0"/>
          <w:sz w:val="32"/>
          <w:szCs w:val="32"/>
        </w:rPr>
        <w:br w:type="textWrapping"/>
      </w:r>
      <w:r>
        <w:rPr>
          <w:rFonts w:hint="eastAsia" w:ascii="仿宋_GB2312" w:hAnsi="宋体" w:eastAsia="仿宋_GB2312"/>
          <w:b w:val="0"/>
          <w:bCs w:val="0"/>
          <w:sz w:val="32"/>
          <w:szCs w:val="32"/>
        </w:rPr>
        <w:t>（2）保障本行政区域内的民政、</w:t>
      </w:r>
      <w:r>
        <w:rPr>
          <w:rFonts w:hint="eastAsia" w:ascii="仿宋_GB2312" w:hAnsi="宋体" w:eastAsia="仿宋_GB2312"/>
          <w:b w:val="0"/>
          <w:bCs w:val="0"/>
          <w:sz w:val="32"/>
          <w:szCs w:val="32"/>
          <w:lang w:eastAsia="zh-CN"/>
        </w:rPr>
        <w:t>JHSY</w:t>
      </w:r>
      <w:r>
        <w:rPr>
          <w:rFonts w:hint="eastAsia" w:ascii="仿宋_GB2312" w:hAnsi="宋体" w:eastAsia="仿宋_GB2312"/>
          <w:b w:val="0"/>
          <w:bCs w:val="0"/>
          <w:sz w:val="32"/>
          <w:szCs w:val="32"/>
        </w:rPr>
        <w:t>、文化教育、卫生、体育等社会公益事业的综合性工作，维护一切经济单位和个人的正当经济权益，取缔非法经济活动，调解和处理民事纠纷，打击刑事犯罪维护社会稳定；</w:t>
      </w:r>
      <w:r>
        <w:rPr>
          <w:rFonts w:hint="eastAsia" w:ascii="仿宋_GB2312" w:hAnsi="宋体" w:eastAsia="仿宋_GB2312"/>
          <w:b w:val="0"/>
          <w:bCs w:val="0"/>
          <w:sz w:val="32"/>
          <w:szCs w:val="32"/>
        </w:rPr>
        <w:br w:type="textWrapping"/>
      </w:r>
      <w:r>
        <w:rPr>
          <w:rFonts w:hint="eastAsia" w:ascii="仿宋_GB2312" w:hAnsi="宋体" w:eastAsia="仿宋_GB2312"/>
          <w:b w:val="0"/>
          <w:bCs w:val="0"/>
          <w:sz w:val="32"/>
          <w:szCs w:val="32"/>
        </w:rPr>
        <w:t>（3）保障阿勒腾也木勒乡政府2024年促乡村振兴项目的实施；</w:t>
      </w:r>
      <w:r>
        <w:rPr>
          <w:rFonts w:hint="eastAsia" w:ascii="仿宋_GB2312" w:hAnsi="宋体" w:eastAsia="仿宋_GB2312"/>
          <w:b w:val="0"/>
          <w:bCs w:val="0"/>
          <w:sz w:val="32"/>
          <w:szCs w:val="32"/>
        </w:rPr>
        <w:br w:type="textWrapping"/>
      </w:r>
      <w:r>
        <w:rPr>
          <w:rFonts w:hint="eastAsia" w:ascii="仿宋_GB2312" w:hAnsi="宋体" w:eastAsia="仿宋_GB2312"/>
          <w:b w:val="0"/>
          <w:bCs w:val="0"/>
          <w:sz w:val="32"/>
          <w:szCs w:val="32"/>
        </w:rPr>
        <w:t>（4）抓好精神文明建设，丰富群众文化生活，提倡移风易俗，反对封建迷信，破除陈规陋习，树立社会主义新风尚；</w:t>
      </w:r>
      <w:r>
        <w:rPr>
          <w:rFonts w:hint="eastAsia" w:ascii="仿宋_GB2312" w:hAnsi="宋体" w:eastAsia="仿宋_GB2312"/>
          <w:b w:val="0"/>
          <w:bCs w:val="0"/>
          <w:sz w:val="32"/>
          <w:szCs w:val="32"/>
        </w:rPr>
        <w:br w:type="textWrapping"/>
      </w:r>
      <w:r>
        <w:rPr>
          <w:rFonts w:hint="eastAsia" w:ascii="仿宋_GB2312" w:hAnsi="宋体" w:eastAsia="仿宋_GB2312"/>
          <w:b w:val="0"/>
          <w:bCs w:val="0"/>
          <w:sz w:val="32"/>
          <w:szCs w:val="32"/>
        </w:rPr>
        <w:t>（5）保障阿勒腾也木勒乡2024年人员公用经费支出。</w:t>
      </w:r>
      <w:r>
        <w:rPr>
          <w:rFonts w:hint="eastAsia" w:ascii="仿宋_GB2312" w:hAnsi="宋体" w:eastAsia="仿宋_GB2312"/>
          <w:b w:val="0"/>
          <w:bCs w:val="0"/>
          <w:sz w:val="32"/>
          <w:szCs w:val="32"/>
        </w:rPr>
        <w:br w:type="textWrapping"/>
      </w:r>
      <w:r>
        <w:rPr>
          <w:rFonts w:hint="eastAsia" w:ascii="仿宋_GB2312" w:hAnsi="宋体" w:eastAsia="仿宋_GB2312"/>
          <w:b w:val="0"/>
          <w:bCs w:val="0"/>
          <w:sz w:val="32"/>
          <w:szCs w:val="32"/>
        </w:rPr>
        <w:t>2.重点工作计划</w:t>
      </w:r>
      <w:r>
        <w:rPr>
          <w:rFonts w:hint="eastAsia" w:ascii="仿宋_GB2312" w:hAnsi="宋体" w:eastAsia="仿宋_GB2312"/>
          <w:b w:val="0"/>
          <w:bCs w:val="0"/>
          <w:sz w:val="32"/>
          <w:szCs w:val="32"/>
        </w:rPr>
        <w:br w:type="textWrapping"/>
      </w:r>
      <w:r>
        <w:rPr>
          <w:rFonts w:hint="eastAsia" w:ascii="仿宋_GB2312" w:hAnsi="宋体" w:eastAsia="仿宋_GB2312"/>
          <w:b w:val="0"/>
          <w:bCs w:val="0"/>
          <w:sz w:val="32"/>
          <w:szCs w:val="32"/>
        </w:rPr>
        <w:t>一是以新农村建设为契机，大力加强基层党建工作。重点是加强全乡各级党组织的组织建设、思想建设和作风建设，发挥各级党组织在新农村建设中的先锋模范作用。</w:t>
      </w:r>
      <w:r>
        <w:rPr>
          <w:rFonts w:hint="eastAsia" w:ascii="仿宋_GB2312" w:hAnsi="宋体" w:eastAsia="仿宋_GB2312"/>
          <w:b w:val="0"/>
          <w:bCs w:val="0"/>
          <w:sz w:val="32"/>
          <w:szCs w:val="32"/>
        </w:rPr>
        <w:br w:type="textWrapping"/>
      </w:r>
      <w:r>
        <w:rPr>
          <w:rFonts w:hint="eastAsia" w:ascii="仿宋_GB2312" w:hAnsi="宋体" w:eastAsia="仿宋_GB2312"/>
          <w:b w:val="0"/>
          <w:bCs w:val="0"/>
          <w:sz w:val="32"/>
          <w:szCs w:val="32"/>
        </w:rPr>
        <w:t>二是加强农业基础设施，提高农业可持续发展能力。完善老化的水利设施和基础设施，增强农业生产抗御自然灾害的能力。</w:t>
      </w:r>
      <w:r>
        <w:rPr>
          <w:rFonts w:hint="eastAsia" w:ascii="仿宋_GB2312" w:hAnsi="宋体" w:eastAsia="仿宋_GB2312"/>
          <w:b w:val="0"/>
          <w:bCs w:val="0"/>
          <w:sz w:val="32"/>
          <w:szCs w:val="32"/>
        </w:rPr>
        <w:br w:type="textWrapping"/>
      </w:r>
      <w:r>
        <w:rPr>
          <w:rFonts w:hint="eastAsia" w:ascii="仿宋_GB2312" w:hAnsi="宋体" w:eastAsia="仿宋_GB2312"/>
          <w:b w:val="0"/>
          <w:bCs w:val="0"/>
          <w:sz w:val="32"/>
          <w:szCs w:val="32"/>
        </w:rPr>
        <w:t>三是加大对我乡农牧民教育培训力度，提升整体素质。农牧民素质的高低，对农村经济社会的发展和全面建成小康社会目标的实现起着非常重要的作用。因为我乡根据实际情况，计划安排多渠道、多层次、全方位的培训。</w:t>
      </w:r>
      <w:r>
        <w:rPr>
          <w:rFonts w:hint="eastAsia" w:ascii="仿宋_GB2312" w:hAnsi="宋体" w:eastAsia="仿宋_GB2312"/>
          <w:b w:val="0"/>
          <w:bCs w:val="0"/>
          <w:sz w:val="32"/>
          <w:szCs w:val="32"/>
        </w:rPr>
        <w:br w:type="textWrapping"/>
      </w:r>
      <w:r>
        <w:rPr>
          <w:rFonts w:hint="eastAsia" w:ascii="仿宋_GB2312" w:hAnsi="宋体" w:eastAsia="仿宋_GB2312"/>
          <w:b w:val="0"/>
          <w:bCs w:val="0"/>
          <w:sz w:val="32"/>
          <w:szCs w:val="32"/>
        </w:rPr>
        <w:t>四是毫不动摇地抓好</w:t>
      </w:r>
      <w:r>
        <w:rPr>
          <w:rFonts w:hint="eastAsia" w:ascii="仿宋_GB2312" w:hAnsi="宋体" w:eastAsia="仿宋_GB2312"/>
          <w:b w:val="0"/>
          <w:bCs w:val="0"/>
          <w:sz w:val="32"/>
          <w:szCs w:val="32"/>
          <w:lang w:eastAsia="zh-CN"/>
        </w:rPr>
        <w:t>JHSY</w:t>
      </w:r>
      <w:r>
        <w:rPr>
          <w:rFonts w:hint="eastAsia" w:ascii="仿宋_GB2312" w:hAnsi="宋体" w:eastAsia="仿宋_GB2312"/>
          <w:b w:val="0"/>
          <w:bCs w:val="0"/>
          <w:sz w:val="32"/>
          <w:szCs w:val="32"/>
        </w:rPr>
        <w:t>工作。一是做好计生人员挂钩联系制度。二是加大依法管理人口和</w:t>
      </w:r>
      <w:r>
        <w:rPr>
          <w:rFonts w:hint="eastAsia" w:ascii="仿宋_GB2312" w:hAnsi="宋体" w:eastAsia="仿宋_GB2312"/>
          <w:b w:val="0"/>
          <w:bCs w:val="0"/>
          <w:sz w:val="32"/>
          <w:szCs w:val="32"/>
          <w:lang w:eastAsia="zh-CN"/>
        </w:rPr>
        <w:t>JHSY</w:t>
      </w:r>
      <w:r>
        <w:rPr>
          <w:rFonts w:hint="eastAsia" w:ascii="仿宋_GB2312" w:hAnsi="宋体" w:eastAsia="仿宋_GB2312"/>
          <w:b w:val="0"/>
          <w:bCs w:val="0"/>
          <w:sz w:val="32"/>
          <w:szCs w:val="32"/>
        </w:rPr>
        <w:t>工作力度。三是加强台账管理。四是加强流动人口管理。五是加大宣传力度，转变群众生育观念。</w:t>
      </w:r>
      <w:r>
        <w:rPr>
          <w:rFonts w:hint="eastAsia" w:ascii="仿宋_GB2312" w:hAnsi="宋体" w:eastAsia="仿宋_GB2312"/>
          <w:b w:val="0"/>
          <w:bCs w:val="0"/>
          <w:sz w:val="32"/>
          <w:szCs w:val="32"/>
        </w:rPr>
        <w:br w:type="textWrapping"/>
      </w:r>
      <w:r>
        <w:rPr>
          <w:rFonts w:hint="eastAsia" w:ascii="仿宋_GB2312" w:hAnsi="宋体" w:eastAsia="仿宋_GB2312"/>
          <w:b w:val="0"/>
          <w:bCs w:val="0"/>
          <w:sz w:val="32"/>
          <w:szCs w:val="32"/>
        </w:rPr>
        <w:t>五是继续加大社会治安综合治理力度。完善社会治安联动防控体系，确保人民群众生命财产安全。继续扎实搞好信访工作，妥善解决热点、难点问题，全力维护社会稳定。</w:t>
      </w:r>
      <w:r>
        <w:rPr>
          <w:rFonts w:hint="eastAsia" w:ascii="仿宋_GB2312" w:hAnsi="宋体" w:eastAsia="仿宋_GB2312"/>
          <w:b w:val="0"/>
          <w:bCs w:val="0"/>
          <w:sz w:val="32"/>
          <w:szCs w:val="32"/>
        </w:rPr>
        <w:br w:type="textWrapping"/>
      </w:r>
      <w:r>
        <w:rPr>
          <w:rFonts w:hint="eastAsia" w:ascii="仿宋_GB2312" w:hAnsi="宋体" w:eastAsia="仿宋_GB2312"/>
          <w:b w:val="0"/>
          <w:bCs w:val="0"/>
          <w:sz w:val="32"/>
          <w:szCs w:val="32"/>
        </w:rPr>
        <w:t>六是加强政府自身建设。努力加强自身建设，充分总结过去的经验和教训，努力建设和完善各种制度，形成制度规范行为的良好局面和科学手段。积极做好政务公开工作，接受社会各界和人民群众的监督，进一步转变机关作风，强化服务职能，加强调查研究，努力为全乡经济社会发展做好贡献。</w:t>
      </w:r>
    </w:p>
    <w:p>
      <w:pPr>
        <w:keepNext w:val="0"/>
        <w:keepLines w:val="0"/>
        <w:pageBreakBefore w:val="0"/>
        <w:numPr>
          <w:ilvl w:val="0"/>
          <w:numId w:val="1"/>
        </w:numPr>
        <w:kinsoku/>
        <w:wordWrap/>
        <w:overflowPunct/>
        <w:topLinePunct w:val="0"/>
        <w:autoSpaceDE/>
        <w:autoSpaceDN/>
        <w:bidi w:val="0"/>
        <w:adjustRightInd/>
        <w:snapToGrid w:val="0"/>
        <w:spacing w:line="560" w:lineRule="exact"/>
        <w:ind w:left="0" w:leftChars="0" w:firstLine="640" w:firstLineChars="200"/>
        <w:textAlignment w:val="auto"/>
        <w:rPr>
          <w:rFonts w:ascii="黑体" w:hAnsi="黑体" w:eastAsia="黑体" w:cs="宋体"/>
          <w:b w:val="0"/>
          <w:bCs w:val="0"/>
          <w:color w:val="333333"/>
          <w:sz w:val="32"/>
          <w:szCs w:val="32"/>
        </w:rPr>
      </w:pPr>
      <w:r>
        <w:rPr>
          <w:rFonts w:hint="eastAsia" w:ascii="黑体" w:hAnsi="黑体" w:eastAsia="黑体" w:cs="宋体"/>
          <w:b w:val="0"/>
          <w:bCs w:val="0"/>
          <w:color w:val="333333"/>
          <w:sz w:val="32"/>
          <w:szCs w:val="32"/>
        </w:rPr>
        <w:t>部门单位专项组织实施情况</w:t>
      </w:r>
    </w:p>
    <w:p>
      <w:pPr>
        <w:keepNext w:val="0"/>
        <w:keepLines w:val="0"/>
        <w:pageBreakBefore w:val="0"/>
        <w:kinsoku/>
        <w:wordWrap/>
        <w:overflowPunct/>
        <w:topLinePunct w:val="0"/>
        <w:autoSpaceDE/>
        <w:autoSpaceDN/>
        <w:bidi w:val="0"/>
        <w:adjustRightInd/>
        <w:spacing w:line="560" w:lineRule="exact"/>
        <w:ind w:left="0" w:leftChars="0" w:firstLine="640" w:firstLineChars="200"/>
        <w:jc w:val="left"/>
        <w:textAlignment w:val="auto"/>
        <w:rPr>
          <w:rFonts w:ascii="仿宋_GB2312" w:hAnsi="宋体" w:eastAsia="仿宋_GB2312"/>
          <w:b w:val="0"/>
          <w:bCs w:val="0"/>
          <w:sz w:val="32"/>
          <w:szCs w:val="32"/>
        </w:rPr>
      </w:pPr>
      <w:r>
        <w:rPr>
          <w:rFonts w:hint="eastAsia" w:ascii="黑体" w:hAnsi="黑体" w:eastAsia="黑体" w:cs="宋体"/>
          <w:b w:val="0"/>
          <w:bCs w:val="0"/>
          <w:color w:val="333333"/>
          <w:sz w:val="32"/>
          <w:szCs w:val="32"/>
        </w:rPr>
        <w:t xml:space="preserve"> </w:t>
      </w:r>
      <w:r>
        <w:rPr>
          <w:rFonts w:ascii="黑体" w:hAnsi="黑体" w:eastAsia="黑体" w:cs="宋体"/>
          <w:b w:val="0"/>
          <w:bCs w:val="0"/>
          <w:color w:val="333333"/>
          <w:sz w:val="32"/>
          <w:szCs w:val="32"/>
        </w:rPr>
        <w:t xml:space="preserve">  </w:t>
      </w:r>
      <w:r>
        <w:rPr>
          <w:rFonts w:hint="eastAsia" w:ascii="仿宋_GB2312" w:hAnsi="宋体" w:eastAsia="仿宋_GB2312"/>
          <w:b w:val="0"/>
          <w:bCs w:val="0"/>
          <w:sz w:val="32"/>
          <w:szCs w:val="32"/>
        </w:rPr>
        <w:t>2024年阿勒腾也木勒乡人民政府年初预算安排3163.97万元，其中财政拨款3163.97万元，主要用于保障单位正常运行的人员经费、公用经费支出、项目运转。年中调整727.58万元，调整后全年预算3891.55万元，预算调整率18.7%，调整预算的主要原因为在编人员调资，人员类预算和公用经费预算增加，本年新增加项目。</w:t>
      </w:r>
    </w:p>
    <w:p>
      <w:pPr>
        <w:keepNext w:val="0"/>
        <w:keepLines w:val="0"/>
        <w:pageBreakBefore w:val="0"/>
        <w:numPr>
          <w:ilvl w:val="0"/>
          <w:numId w:val="1"/>
        </w:numPr>
        <w:kinsoku/>
        <w:wordWrap/>
        <w:overflowPunct/>
        <w:topLinePunct w:val="0"/>
        <w:autoSpaceDE/>
        <w:autoSpaceDN/>
        <w:bidi w:val="0"/>
        <w:adjustRightInd/>
        <w:snapToGrid w:val="0"/>
        <w:spacing w:line="560" w:lineRule="exact"/>
        <w:ind w:left="0" w:leftChars="0" w:firstLine="640" w:firstLineChars="200"/>
        <w:textAlignment w:val="auto"/>
        <w:rPr>
          <w:rFonts w:ascii="黑体" w:hAnsi="黑体" w:eastAsia="黑体" w:cs="宋体"/>
          <w:b w:val="0"/>
          <w:bCs w:val="0"/>
          <w:color w:val="333333"/>
          <w:sz w:val="32"/>
          <w:szCs w:val="32"/>
        </w:rPr>
      </w:pPr>
      <w:r>
        <w:rPr>
          <w:rFonts w:hint="eastAsia" w:ascii="黑体" w:hAnsi="黑体" w:eastAsia="黑体" w:cs="宋体"/>
          <w:b w:val="0"/>
          <w:bCs w:val="0"/>
          <w:color w:val="333333"/>
          <w:sz w:val="32"/>
          <w:szCs w:val="32"/>
        </w:rPr>
        <w:t>资产管理情况</w:t>
      </w:r>
    </w:p>
    <w:p>
      <w:pPr>
        <w:keepNext w:val="0"/>
        <w:keepLines w:val="0"/>
        <w:pageBreakBefore w:val="0"/>
        <w:kinsoku/>
        <w:wordWrap/>
        <w:overflowPunct/>
        <w:topLinePunct w:val="0"/>
        <w:autoSpaceDE/>
        <w:autoSpaceDN/>
        <w:bidi w:val="0"/>
        <w:adjustRightInd/>
        <w:spacing w:line="560" w:lineRule="exact"/>
        <w:ind w:left="0" w:leftChars="0" w:firstLine="640" w:firstLineChars="200"/>
        <w:jc w:val="left"/>
        <w:textAlignment w:val="auto"/>
        <w:rPr>
          <w:rFonts w:ascii="仿宋_GB2312" w:hAnsi="宋体" w:eastAsia="仿宋_GB2312"/>
          <w:b w:val="0"/>
          <w:bCs w:val="0"/>
          <w:sz w:val="32"/>
          <w:szCs w:val="32"/>
        </w:rPr>
      </w:pPr>
      <w:r>
        <w:rPr>
          <w:rFonts w:hint="eastAsia" w:ascii="仿宋_GB2312" w:hAnsi="宋体" w:eastAsia="仿宋_GB2312"/>
          <w:b w:val="0"/>
          <w:bCs w:val="0"/>
          <w:sz w:val="32"/>
          <w:szCs w:val="32"/>
        </w:rPr>
        <w:t>1.预算编制</w:t>
      </w:r>
      <w:r>
        <w:rPr>
          <w:rFonts w:hint="eastAsia" w:ascii="仿宋_GB2312" w:hAnsi="宋体" w:eastAsia="仿宋_GB2312"/>
          <w:b w:val="0"/>
          <w:bCs w:val="0"/>
          <w:sz w:val="32"/>
          <w:szCs w:val="32"/>
        </w:rPr>
        <w:br w:type="textWrapping"/>
      </w:r>
      <w:r>
        <w:rPr>
          <w:rFonts w:hint="eastAsia" w:ascii="仿宋_GB2312" w:hAnsi="宋体" w:eastAsia="仿宋_GB2312"/>
          <w:b w:val="0"/>
          <w:bCs w:val="0"/>
          <w:sz w:val="32"/>
          <w:szCs w:val="32"/>
        </w:rP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w:t>
      </w:r>
      <w:r>
        <w:rPr>
          <w:rFonts w:hint="eastAsia" w:ascii="仿宋_GB2312" w:hAnsi="宋体" w:eastAsia="仿宋_GB2312"/>
          <w:b w:val="0"/>
          <w:bCs w:val="0"/>
          <w:sz w:val="32"/>
          <w:szCs w:val="32"/>
        </w:rPr>
        <w:br w:type="textWrapping"/>
      </w:r>
      <w:r>
        <w:rPr>
          <w:rFonts w:hint="eastAsia" w:ascii="仿宋_GB2312" w:hAnsi="宋体" w:eastAsia="仿宋_GB2312"/>
          <w:b w:val="0"/>
          <w:bCs w:val="0"/>
          <w:sz w:val="32"/>
          <w:szCs w:val="32"/>
        </w:rPr>
        <w:t>2.预算执行</w:t>
      </w:r>
      <w:r>
        <w:rPr>
          <w:rFonts w:hint="eastAsia" w:ascii="仿宋_GB2312" w:hAnsi="宋体" w:eastAsia="仿宋_GB2312"/>
          <w:b w:val="0"/>
          <w:bCs w:val="0"/>
          <w:sz w:val="32"/>
          <w:szCs w:val="32"/>
        </w:rPr>
        <w:br w:type="textWrapping"/>
      </w:r>
      <w:r>
        <w:rPr>
          <w:rFonts w:hint="eastAsia" w:ascii="仿宋_GB2312" w:hAnsi="宋体" w:eastAsia="仿宋_GB2312"/>
          <w:b w:val="0"/>
          <w:bCs w:val="0"/>
          <w:sz w:val="32"/>
          <w:szCs w:val="32"/>
        </w:rPr>
        <w:t>地区财政批复预算后，我单位按要求及时制定并报批部门预算支出计划，严格落实预算执行定期分析机制，靠前抓好支出执行，坚持严肃财经纪律，硬化预算约束，持续树牢厉行节约理念，严控一般性支出，努力降低行政运行成本。</w:t>
      </w:r>
      <w:r>
        <w:rPr>
          <w:rFonts w:hint="eastAsia" w:ascii="仿宋_GB2312" w:hAnsi="宋体" w:eastAsia="仿宋_GB2312"/>
          <w:b w:val="0"/>
          <w:bCs w:val="0"/>
          <w:sz w:val="32"/>
          <w:szCs w:val="32"/>
        </w:rPr>
        <w:br w:type="textWrapping"/>
      </w:r>
      <w:r>
        <w:rPr>
          <w:rFonts w:hint="eastAsia" w:ascii="仿宋_GB2312" w:hAnsi="宋体" w:eastAsia="仿宋_GB2312"/>
          <w:b w:val="0"/>
          <w:bCs w:val="0"/>
          <w:sz w:val="32"/>
          <w:szCs w:val="32"/>
        </w:rPr>
        <w:t>3.绩效管理</w:t>
      </w:r>
      <w:r>
        <w:rPr>
          <w:rFonts w:hint="eastAsia" w:ascii="仿宋_GB2312" w:hAnsi="宋体" w:eastAsia="仿宋_GB2312"/>
          <w:b w:val="0"/>
          <w:bCs w:val="0"/>
          <w:sz w:val="32"/>
          <w:szCs w:val="32"/>
        </w:rPr>
        <w:br w:type="textWrapping"/>
      </w:r>
      <w:r>
        <w:rPr>
          <w:rFonts w:hint="eastAsia" w:ascii="仿宋_GB2312" w:hAnsi="宋体" w:eastAsia="仿宋_GB2312"/>
          <w:b w:val="0"/>
          <w:bCs w:val="0"/>
          <w:sz w:val="32"/>
          <w:szCs w:val="32"/>
        </w:rP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w:t>
      </w:r>
      <w:r>
        <w:rPr>
          <w:rFonts w:hint="eastAsia" w:ascii="仿宋_GB2312" w:hAnsi="宋体" w:eastAsia="仿宋_GB2312"/>
          <w:b w:val="0"/>
          <w:bCs w:val="0"/>
          <w:sz w:val="32"/>
          <w:szCs w:val="32"/>
        </w:rPr>
        <w:br w:type="textWrapping"/>
      </w:r>
      <w:r>
        <w:rPr>
          <w:rFonts w:hint="eastAsia" w:ascii="仿宋_GB2312" w:hAnsi="宋体" w:eastAsia="仿宋_GB2312"/>
          <w:b w:val="0"/>
          <w:bCs w:val="0"/>
          <w:sz w:val="32"/>
          <w:szCs w:val="32"/>
        </w:rPr>
        <w:t>4.信息公开</w:t>
      </w:r>
      <w:r>
        <w:rPr>
          <w:rFonts w:hint="eastAsia" w:ascii="仿宋_GB2312" w:hAnsi="宋体" w:eastAsia="仿宋_GB2312"/>
          <w:b w:val="0"/>
          <w:bCs w:val="0"/>
          <w:sz w:val="32"/>
          <w:szCs w:val="32"/>
        </w:rPr>
        <w:br w:type="textWrapping"/>
      </w:r>
      <w:r>
        <w:rPr>
          <w:rFonts w:hint="eastAsia" w:ascii="仿宋_GB2312" w:hAnsi="宋体" w:eastAsia="仿宋_GB2312"/>
          <w:b w:val="0"/>
          <w:bCs w:val="0"/>
          <w:sz w:val="32"/>
          <w:szCs w:val="32"/>
        </w:rPr>
        <w:t>我单位已按要求在裕民县人民政府、门户网站公开部门预算信息，同步公开绩效目标表；在裕民县人民政府、自治区财政厅门户网站公开部门决算信息，同步公开自评表及自评报告。</w:t>
      </w:r>
      <w:r>
        <w:rPr>
          <w:rFonts w:hint="eastAsia" w:ascii="仿宋_GB2312" w:hAnsi="宋体" w:eastAsia="仿宋_GB2312"/>
          <w:b w:val="0"/>
          <w:bCs w:val="0"/>
          <w:sz w:val="32"/>
          <w:szCs w:val="32"/>
        </w:rPr>
        <w:br w:type="textWrapping"/>
      </w:r>
      <w:r>
        <w:rPr>
          <w:rFonts w:hint="eastAsia" w:ascii="仿宋_GB2312" w:hAnsi="宋体" w:eastAsia="仿宋_GB2312"/>
          <w:b w:val="0"/>
          <w:bCs w:val="0"/>
          <w:sz w:val="32"/>
          <w:szCs w:val="32"/>
        </w:rPr>
        <w:t>（二）部门单位整体支出使用情况</w:t>
      </w:r>
      <w:r>
        <w:rPr>
          <w:rFonts w:hint="eastAsia" w:ascii="仿宋_GB2312" w:hAnsi="宋体" w:eastAsia="仿宋_GB2312"/>
          <w:b w:val="0"/>
          <w:bCs w:val="0"/>
          <w:sz w:val="32"/>
          <w:szCs w:val="32"/>
        </w:rPr>
        <w:br w:type="textWrapping"/>
      </w:r>
      <w:r>
        <w:rPr>
          <w:rFonts w:hint="eastAsia" w:ascii="仿宋_GB2312" w:hAnsi="宋体" w:eastAsia="仿宋_GB2312"/>
          <w:b w:val="0"/>
          <w:bCs w:val="0"/>
          <w:sz w:val="32"/>
          <w:szCs w:val="32"/>
        </w:rPr>
        <w:t>1.基本支出情况</w:t>
      </w:r>
      <w:r>
        <w:rPr>
          <w:rFonts w:hint="eastAsia" w:ascii="仿宋_GB2312" w:hAnsi="宋体" w:eastAsia="仿宋_GB2312"/>
          <w:b w:val="0"/>
          <w:bCs w:val="0"/>
          <w:sz w:val="32"/>
          <w:szCs w:val="32"/>
        </w:rPr>
        <w:br w:type="textWrapping"/>
      </w:r>
      <w:r>
        <w:rPr>
          <w:rFonts w:hint="eastAsia" w:ascii="仿宋_GB2312" w:hAnsi="宋体" w:eastAsia="仿宋_GB2312"/>
          <w:b w:val="0"/>
          <w:bCs w:val="0"/>
          <w:sz w:val="32"/>
          <w:szCs w:val="32"/>
        </w:rPr>
        <w:t>2024年基本支出1415.94万元，包括工资福利支出1265.7万元，商品和服务支出92.74万元，对个人和家庭的补助57.5万元。其中：“三公”经费支出6万元；会议费支出0万元，比上年增加（减少）0万元，主要原因是我单位无会议费支出；培训费支出2.18万元，比上年增加2.18万元，主要原因是在职人员外出培训数量大。</w:t>
      </w:r>
      <w:r>
        <w:rPr>
          <w:rFonts w:hint="eastAsia" w:ascii="仿宋_GB2312" w:hAnsi="宋体" w:eastAsia="仿宋_GB2312"/>
          <w:b w:val="0"/>
          <w:bCs w:val="0"/>
          <w:sz w:val="32"/>
          <w:szCs w:val="32"/>
        </w:rPr>
        <w:br w:type="textWrapping"/>
      </w:r>
      <w:r>
        <w:rPr>
          <w:rFonts w:hint="eastAsia" w:ascii="仿宋_GB2312" w:hAnsi="宋体" w:eastAsia="仿宋_GB2312"/>
          <w:b w:val="0"/>
          <w:bCs w:val="0"/>
          <w:sz w:val="32"/>
          <w:szCs w:val="32"/>
        </w:rPr>
        <w:t>2.专项资金支出情况</w:t>
      </w:r>
      <w:r>
        <w:rPr>
          <w:rFonts w:hint="eastAsia" w:ascii="仿宋_GB2312" w:hAnsi="宋体" w:eastAsia="仿宋_GB2312"/>
          <w:b w:val="0"/>
          <w:bCs w:val="0"/>
          <w:sz w:val="32"/>
          <w:szCs w:val="32"/>
        </w:rPr>
        <w:br w:type="textWrapping"/>
      </w:r>
      <w:r>
        <w:rPr>
          <w:rFonts w:hint="eastAsia" w:ascii="仿宋_GB2312" w:hAnsi="宋体" w:eastAsia="仿宋_GB2312"/>
          <w:b w:val="0"/>
          <w:bCs w:val="0"/>
          <w:sz w:val="32"/>
          <w:szCs w:val="32"/>
        </w:rPr>
        <w:t>2024年专项项目支出2396.61万元，占总支出的61.58％，主要用于1. 塔地财行[2024]17号2024年中央政法</w:t>
      </w:r>
      <w:r>
        <w:rPr>
          <w:rFonts w:hint="eastAsia" w:ascii="仿宋_GB2312" w:hAnsi="宋体" w:eastAsia="仿宋_GB2312"/>
          <w:b w:val="0"/>
          <w:bCs w:val="0"/>
          <w:sz w:val="32"/>
          <w:szCs w:val="32"/>
          <w:lang w:eastAsia="zh-CN"/>
        </w:rPr>
        <w:t>JJ</w:t>
      </w:r>
      <w:r>
        <w:rPr>
          <w:rFonts w:hint="eastAsia" w:ascii="仿宋_GB2312" w:hAnsi="宋体" w:eastAsia="仿宋_GB2312"/>
          <w:b w:val="0"/>
          <w:bCs w:val="0"/>
          <w:sz w:val="32"/>
          <w:szCs w:val="32"/>
        </w:rPr>
        <w:t>监察转移支付（装备费）1.8万元，2. 塔地财行[2024]17号2024年中央政法</w:t>
      </w:r>
      <w:r>
        <w:rPr>
          <w:rFonts w:hint="eastAsia" w:ascii="仿宋_GB2312" w:hAnsi="宋体" w:eastAsia="仿宋_GB2312"/>
          <w:b w:val="0"/>
          <w:bCs w:val="0"/>
          <w:sz w:val="32"/>
          <w:szCs w:val="32"/>
          <w:lang w:eastAsia="zh-CN"/>
        </w:rPr>
        <w:t>JJ</w:t>
      </w:r>
      <w:r>
        <w:rPr>
          <w:rFonts w:hint="eastAsia" w:ascii="仿宋_GB2312" w:hAnsi="宋体" w:eastAsia="仿宋_GB2312"/>
          <w:b w:val="0"/>
          <w:bCs w:val="0"/>
          <w:sz w:val="32"/>
          <w:szCs w:val="32"/>
        </w:rPr>
        <w:t>监察转移支付（办案业务经费）0.2万元，3. 2024年（县配套）补助地方美术馆、公共图书馆、文化馆[站]免费开放资金0.7万元，4.塔地财教[2023]77号2024年（自治区）补助地方美术馆、公共图书馆等免费开放补助金0.4万元，5.裕党财办[2024]21号2024年文化活动经费3万元，6.塔地财教[2023]86号2024年（中央）补助地方美术馆、公共图书馆、文化馆[站]免费开放补助资金3.6万元，7.  塔地财教[2024]22号美术馆、公共图书馆、文化馆[站]免费开放补助资金[中央第二批]0.4万元，8.塔地财教[2023]107号文2024年中央补助地方公共文化服务体系建设补助资金（新时代文明实践中心建设）2.54万元，9.  塔地财教[2023]29号中央补助地方公共文化服务体系建设补助资金（宣传部）1.22万元，10.裕财字[2024]1号2024年自有资金--2023年12月红河烟草新疆卷烟厂结对帮扶款10万元，11.塔地财社[2022]138号农村劳动力以奖代补资金0.87万元，12.塔地财社[2024]8号2024年自治区</w:t>
      </w:r>
      <w:r>
        <w:rPr>
          <w:rFonts w:hint="eastAsia" w:ascii="仿宋_GB2312" w:hAnsi="宋体" w:eastAsia="仿宋_GB2312"/>
          <w:b w:val="0"/>
          <w:bCs w:val="0"/>
          <w:sz w:val="32"/>
          <w:szCs w:val="32"/>
          <w:lang w:eastAsia="zh-CN"/>
        </w:rPr>
        <w:t>JHSY</w:t>
      </w:r>
      <w:r>
        <w:rPr>
          <w:rFonts w:hint="eastAsia" w:ascii="仿宋_GB2312" w:hAnsi="宋体" w:eastAsia="仿宋_GB2312"/>
          <w:b w:val="0"/>
          <w:bCs w:val="0"/>
          <w:sz w:val="32"/>
          <w:szCs w:val="32"/>
        </w:rPr>
        <w:t>补助资金1.68万元，13.塔地财建[2024]43号塔城地区库鲁斯台草原生态保护资金（县级配套）5万元，14.塔地财建[2023]98号塔城地区库鲁斯台草原生态保护资金(县级配套资金)2.8万元，15.裕党财办[2024]15号阿勒腾也木勒乡牧业道路建设项目相关补偿费（江阿布拉克村）3.17万元，16.裕党财办[2024]15号阿勒腾也木勒乡牧业道路建设项目相关补偿费（江阿布拉克村）4.76万元，17.裕党财办[2024]11号2024年阿勒腾也木勒乡白布谢村圆筒仓储备库项目24.99万元，18.裕党财办[2024]64号裕民县阿勒腾也木勒乡克孜布拉克村白布谢村村组道路建设（前期费）11.25万元，19.裕党财办[2024]64号裕民县阿勒腾也木勒乡克孜布拉克村农业生产道路建设项目（前期费）5.73万元，20.裕党财办[2023]111号抗灾保畜项目2万元，21.塔地财农[2023]32裕财农[2023]26号2023年中央农业防灾救灾和水利救灾资金预算4万元，22.塔地财预[2023]25号2023年驻村工作队经费（阿勒腾也木勒乡吉也克齐村，白布谢村）14.03万元，23.塔地财预[2022]81号2023年1-2月上级补助访惠聚人员补助72号乡镇驻村干部补助10.97万元，24.塔地财预[2024]23号2024年驻村工作为民办实事经费（阿勒腾也木勒乡吉也克齐村50%用于困难群众等）0.48万元，25.塔地财预[2024]23号2024年驻村工作为民办实事经费（阿勒腾也木勒乡吉也克齐村50%用于困难群众等）0.47万元，26.塔地财振[2024]6号裕民县阿勒腾也木勒乡白布谢村备用水源地建设项目500万元，27.塔地财振[2023]11号裕民县阿勒腾也木勒乡阿勒腾也木勒村公共区域配套设施120.92万元，28.塔地财振[2023]11号裕民县阿勒腾也木勒乡牧业道路建设项目343.91万元，29.塔地财振[2023]11号裕民县阿勒腾也木勒乡克孜布拉克村盖板防渗渠建设财政以工代赈项目343万元，30.塔地财振[2023]11号裕民县阿勒腾也木勒乡白布谢村圆筒仓储备库项目540.26万元，31.塔地财振[2023]4号阿勒腾也木勒乡江阿布拉克村一小队农村供水工程建设项目2.35万元，32.阿勒腾也木勒乡蜂蜜罐装生产线及制冷配套附属项目塔地财振[2022]1号5.9万元，33.塔地财振[2023]11号裕民县阿勒腾也木勒乡阿勒腾也木勒村产业设施配套项目162.46万元，34.裕财振[2024]10号农村厕所建设项目1.36万元，35.裕财振[2024]10号饲料加工厂建设项目0.44万元，36.塔地财振[2023]11号裕民县阿勒腾也木勒乡阿勒腾也木勒村产业设施配套项目0.59万元，37.裕财振[2024]10号庭院“三区分离”项目7.24万元，38.裕财字[2024]1号2024年自有资金--22023年12月红河烟草新疆卷烟厂结对帮扶款48.67万元，39.塔地财乡财[2023]6号2024年自治区农村综合改革转移支付资金（阿乡吉也克齐村）27.96万元，40.塔地财乡财[2023]5号2024年中央农村综合改革转移支付资金（江阿布拉克村）28.55万元，41.塔地财乡财[2023]5号2024年中央农村综合改革转移支付资金（阿勒腾也木勒村）18.78万元，42.塔地财乡财[2022]6号2023年自治区农村综合改革转移支付（阿勒腾也木勒乡白布谢村）0.49万元，43.塔地财乡财[2022]5号阿勒腾也木勒乡阿勒腾也木勒村2023年中央农村综合改革转移支付资金0.57万元，44.塔地财行[2021]26号村干部报酬113万元，45.塔地财行[2021]26号村干部绩效考核奖励金13万元，46.塔地财建[2023]98号2023年库鲁斯台草原生态保护引洪灌溉项目1.2万元。</w:t>
      </w:r>
      <w:r>
        <w:rPr>
          <w:rFonts w:hint="eastAsia" w:ascii="仿宋_GB2312" w:hAnsi="宋体" w:eastAsia="仿宋_GB2312"/>
          <w:b w:val="0"/>
          <w:bCs w:val="0"/>
          <w:sz w:val="32"/>
          <w:szCs w:val="32"/>
        </w:rPr>
        <w:br w:type="textWrapping"/>
      </w:r>
      <w:r>
        <w:rPr>
          <w:rFonts w:hint="eastAsia" w:ascii="仿宋_GB2312" w:hAnsi="宋体" w:eastAsia="仿宋_GB2312"/>
          <w:b w:val="0"/>
          <w:bCs w:val="0"/>
          <w:sz w:val="32"/>
          <w:szCs w:val="32"/>
        </w:rPr>
        <w:t>3.部门单位专项组织实施情况</w:t>
      </w:r>
      <w:r>
        <w:rPr>
          <w:rFonts w:hint="eastAsia" w:ascii="仿宋_GB2312" w:hAnsi="宋体" w:eastAsia="仿宋_GB2312"/>
          <w:b w:val="0"/>
          <w:bCs w:val="0"/>
          <w:sz w:val="32"/>
          <w:szCs w:val="32"/>
        </w:rPr>
        <w:br w:type="textWrapping"/>
      </w:r>
      <w:r>
        <w:rPr>
          <w:rFonts w:hint="eastAsia" w:ascii="仿宋_GB2312" w:hAnsi="宋体" w:eastAsia="仿宋_GB2312"/>
          <w:b w:val="0"/>
          <w:bCs w:val="0"/>
          <w:sz w:val="32"/>
          <w:szCs w:val="32"/>
        </w:rPr>
        <w:t>年初我单位下发的项目专项工作计划，对项目的工作分工、任务分配、资金落实、完成时限等提出了明确、具体的要求，以确保项目保质、保量、按时完成。截</w:t>
      </w:r>
      <w:r>
        <w:rPr>
          <w:rFonts w:hint="eastAsia" w:ascii="仿宋_GB2312" w:hAnsi="宋体" w:eastAsia="仿宋_GB2312"/>
          <w:b w:val="0"/>
          <w:bCs w:val="0"/>
          <w:sz w:val="32"/>
          <w:szCs w:val="32"/>
          <w:lang w:val="en-US" w:eastAsia="zh-CN"/>
        </w:rPr>
        <w:t>止</w:t>
      </w:r>
      <w:r>
        <w:rPr>
          <w:rFonts w:hint="eastAsia" w:ascii="仿宋_GB2312" w:hAnsi="宋体" w:eastAsia="仿宋_GB2312"/>
          <w:b w:val="0"/>
          <w:bCs w:val="0"/>
          <w:sz w:val="32"/>
          <w:szCs w:val="32"/>
        </w:rPr>
        <w:t>2024年12月31日，完成专项46个，未完成专项0个。</w:t>
      </w:r>
    </w:p>
    <w:p>
      <w:pPr>
        <w:keepNext w:val="0"/>
        <w:keepLines w:val="0"/>
        <w:pageBreakBefore w:val="0"/>
        <w:numPr>
          <w:ilvl w:val="0"/>
          <w:numId w:val="1"/>
        </w:numPr>
        <w:kinsoku/>
        <w:wordWrap/>
        <w:overflowPunct/>
        <w:topLinePunct w:val="0"/>
        <w:autoSpaceDE/>
        <w:autoSpaceDN/>
        <w:bidi w:val="0"/>
        <w:adjustRightInd/>
        <w:snapToGrid w:val="0"/>
        <w:spacing w:line="560" w:lineRule="exact"/>
        <w:ind w:left="0" w:leftChars="0" w:firstLine="640" w:firstLineChars="200"/>
        <w:textAlignment w:val="auto"/>
        <w:rPr>
          <w:rFonts w:ascii="黑体" w:hAnsi="黑体" w:eastAsia="黑体" w:cs="宋体"/>
          <w:b w:val="0"/>
          <w:bCs w:val="0"/>
          <w:color w:val="333333"/>
          <w:sz w:val="32"/>
          <w:szCs w:val="32"/>
        </w:rPr>
      </w:pPr>
      <w:r>
        <w:rPr>
          <w:rFonts w:hint="eastAsia" w:ascii="黑体" w:hAnsi="黑体" w:eastAsia="黑体" w:cs="宋体"/>
          <w:b w:val="0"/>
          <w:bCs w:val="0"/>
          <w:color w:val="333333"/>
          <w:sz w:val="32"/>
          <w:szCs w:val="32"/>
        </w:rPr>
        <w:t>部门单位整体支出绩效情况</w:t>
      </w:r>
    </w:p>
    <w:p>
      <w:pPr>
        <w:keepNext w:val="0"/>
        <w:keepLines w:val="0"/>
        <w:pageBreakBefore w:val="0"/>
        <w:kinsoku/>
        <w:wordWrap/>
        <w:overflowPunct/>
        <w:topLinePunct w:val="0"/>
        <w:autoSpaceDE/>
        <w:autoSpaceDN/>
        <w:bidi w:val="0"/>
        <w:adjustRightInd/>
        <w:spacing w:line="560" w:lineRule="exact"/>
        <w:ind w:left="0" w:leftChars="0" w:firstLine="640" w:firstLineChars="200"/>
        <w:jc w:val="left"/>
        <w:textAlignment w:val="auto"/>
        <w:rPr>
          <w:rFonts w:ascii="仿宋_GB2312" w:hAnsi="宋体" w:eastAsia="仿宋_GB2312"/>
          <w:b w:val="0"/>
          <w:bCs w:val="0"/>
          <w:sz w:val="32"/>
          <w:szCs w:val="32"/>
        </w:rPr>
      </w:pPr>
      <w:r>
        <w:rPr>
          <w:rFonts w:hint="eastAsia" w:ascii="黑体" w:hAnsi="黑体" w:eastAsia="黑体" w:cs="宋体"/>
          <w:b w:val="0"/>
          <w:bCs w:val="0"/>
          <w:color w:val="333333"/>
          <w:sz w:val="32"/>
          <w:szCs w:val="32"/>
        </w:rPr>
        <w:t xml:space="preserve"> </w:t>
      </w:r>
      <w:r>
        <w:rPr>
          <w:rFonts w:hint="eastAsia" w:ascii="仿宋_GB2312" w:hAnsi="宋体" w:eastAsia="仿宋_GB2312"/>
          <w:b w:val="0"/>
          <w:bCs w:val="0"/>
          <w:sz w:val="32"/>
          <w:szCs w:val="32"/>
        </w:rPr>
        <w:t>2024年裕民县阿勒腾也木勒乡人民政府总支出3812.55万元，预算执行率100%，其中一般公共服务支出637.63万元，文化旅游体育与传媒支出65.16万元，社会保障和就业支出188.71万元，卫生健康支出61.63万元，节能环保支出7.8万元，城乡社区支出97.79万元，农林水支出2651.34万元，住房保障支出102.49万元。</w:t>
      </w:r>
      <w:r>
        <w:rPr>
          <w:rFonts w:hint="eastAsia" w:ascii="仿宋_GB2312" w:hAnsi="宋体" w:eastAsia="仿宋_GB2312"/>
          <w:b w:val="0"/>
          <w:bCs w:val="0"/>
          <w:sz w:val="32"/>
          <w:szCs w:val="32"/>
        </w:rPr>
        <w:br w:type="textWrapping"/>
      </w:r>
      <w:r>
        <w:rPr>
          <w:rFonts w:hint="eastAsia" w:ascii="仿宋_GB2312" w:hAnsi="宋体" w:eastAsia="仿宋_GB2312"/>
          <w:b w:val="0"/>
          <w:bCs w:val="0"/>
          <w:sz w:val="32"/>
          <w:szCs w:val="32"/>
        </w:rPr>
        <w:t>1.基本支出使用情况</w:t>
      </w:r>
      <w:r>
        <w:rPr>
          <w:rFonts w:hint="eastAsia" w:ascii="仿宋_GB2312" w:hAnsi="宋体" w:eastAsia="仿宋_GB2312"/>
          <w:b w:val="0"/>
          <w:bCs w:val="0"/>
          <w:sz w:val="32"/>
          <w:szCs w:val="32"/>
        </w:rPr>
        <w:br w:type="textWrapping"/>
      </w:r>
      <w:r>
        <w:rPr>
          <w:rFonts w:hint="eastAsia" w:ascii="仿宋_GB2312" w:hAnsi="宋体" w:eastAsia="仿宋_GB2312"/>
          <w:b w:val="0"/>
          <w:bCs w:val="0"/>
          <w:sz w:val="32"/>
          <w:szCs w:val="32"/>
        </w:rPr>
        <w:t>2024年，裕民县阿勒腾也木勒乡人民政府基本支出1415.94万元，占总支出的37.14％，其中：一般公共服务支出635.62万元，文化旅游体育与传媒支出43.4万元，社会保障和就业支出187.84万元，卫生健康支出59.95万元，城乡社区支出45.9万元，农林水支出340.73万元，住房保障支出102.49万元。</w:t>
      </w:r>
      <w:r>
        <w:rPr>
          <w:rFonts w:hint="eastAsia" w:ascii="仿宋_GB2312" w:hAnsi="宋体" w:eastAsia="仿宋_GB2312"/>
          <w:b w:val="0"/>
          <w:bCs w:val="0"/>
          <w:sz w:val="32"/>
          <w:szCs w:val="32"/>
        </w:rPr>
        <w:br w:type="textWrapping"/>
      </w:r>
      <w:r>
        <w:rPr>
          <w:rFonts w:hint="eastAsia" w:ascii="仿宋_GB2312" w:hAnsi="宋体" w:eastAsia="仿宋_GB2312"/>
          <w:b w:val="0"/>
          <w:bCs w:val="0"/>
          <w:sz w:val="32"/>
          <w:szCs w:val="32"/>
        </w:rPr>
        <w:t>2.项目支出使用情况</w:t>
      </w:r>
      <w:r>
        <w:rPr>
          <w:rFonts w:hint="eastAsia" w:ascii="仿宋_GB2312" w:hAnsi="宋体" w:eastAsia="仿宋_GB2312"/>
          <w:b w:val="0"/>
          <w:bCs w:val="0"/>
          <w:sz w:val="32"/>
          <w:szCs w:val="32"/>
        </w:rPr>
        <w:br w:type="textWrapping"/>
      </w:r>
      <w:r>
        <w:rPr>
          <w:rFonts w:hint="eastAsia" w:ascii="仿宋_GB2312" w:hAnsi="宋体" w:eastAsia="仿宋_GB2312"/>
          <w:b w:val="0"/>
          <w:bCs w:val="0"/>
          <w:sz w:val="32"/>
          <w:szCs w:val="32"/>
        </w:rPr>
        <w:t>2024年，裕民县阿勒腾也木勒乡人民政府项目支出2396.6万元，占总支出的62.86％。其中：一般公共服务支出2万元，文化旅游体育与传媒支出21.75万元，社会保障和就业支出0.87万元，卫生健康支出1.68万元，节能环保支出7.8万元，城乡社区支出51.89万元，农林水支出2310.61万元。</w:t>
      </w:r>
      <w:r>
        <w:rPr>
          <w:rFonts w:hint="eastAsia" w:ascii="仿宋_GB2312" w:hAnsi="宋体" w:eastAsia="仿宋_GB2312"/>
          <w:b w:val="0"/>
          <w:bCs w:val="0"/>
          <w:sz w:val="32"/>
          <w:szCs w:val="32"/>
        </w:rPr>
        <w:br w:type="textWrapping"/>
      </w:r>
      <w:r>
        <w:rPr>
          <w:rFonts w:hint="eastAsia" w:ascii="仿宋_GB2312" w:hAnsi="宋体" w:eastAsia="仿宋_GB2312"/>
          <w:b w:val="0"/>
          <w:bCs w:val="0"/>
          <w:sz w:val="32"/>
          <w:szCs w:val="32"/>
        </w:rPr>
        <w:t>（二）部门单位整体支出绩效指标完成情况分析</w:t>
      </w:r>
      <w:r>
        <w:rPr>
          <w:rFonts w:hint="eastAsia" w:ascii="仿宋_GB2312" w:hAnsi="宋体" w:eastAsia="仿宋_GB2312"/>
          <w:b w:val="0"/>
          <w:bCs w:val="0"/>
          <w:sz w:val="32"/>
          <w:szCs w:val="32"/>
        </w:rPr>
        <w:br w:type="textWrapping"/>
      </w:r>
      <w:r>
        <w:rPr>
          <w:rFonts w:hint="eastAsia" w:ascii="仿宋_GB2312" w:hAnsi="宋体" w:eastAsia="仿宋_GB2312"/>
          <w:b w:val="0"/>
          <w:bCs w:val="0"/>
          <w:sz w:val="32"/>
          <w:szCs w:val="32"/>
        </w:rPr>
        <w:t>年初我单位设置部门整体绩效目标中包括一级指标1个二级指标2个，三级指标8个，指标完成情况分析如下：</w:t>
      </w:r>
      <w:r>
        <w:rPr>
          <w:rFonts w:hint="eastAsia" w:ascii="仿宋_GB2312" w:hAnsi="宋体" w:eastAsia="仿宋_GB2312"/>
          <w:b w:val="0"/>
          <w:bCs w:val="0"/>
          <w:sz w:val="32"/>
          <w:szCs w:val="32"/>
        </w:rPr>
        <w:br w:type="textWrapping"/>
      </w:r>
      <w:r>
        <w:rPr>
          <w:rFonts w:hint="eastAsia" w:ascii="仿宋_GB2312" w:hAnsi="宋体" w:eastAsia="仿宋_GB2312"/>
          <w:b w:val="0"/>
          <w:bCs w:val="0"/>
          <w:sz w:val="32"/>
          <w:szCs w:val="32"/>
        </w:rPr>
        <w:t>3.履职效能</w:t>
      </w:r>
      <w:r>
        <w:rPr>
          <w:rFonts w:hint="eastAsia" w:ascii="仿宋_GB2312" w:hAnsi="宋体" w:eastAsia="仿宋_GB2312"/>
          <w:b w:val="0"/>
          <w:bCs w:val="0"/>
          <w:sz w:val="32"/>
          <w:szCs w:val="32"/>
        </w:rPr>
        <w:br w:type="textWrapping"/>
      </w:r>
      <w:r>
        <w:rPr>
          <w:rFonts w:hint="eastAsia" w:ascii="仿宋_GB2312" w:hAnsi="宋体" w:eastAsia="仿宋_GB2312"/>
          <w:b w:val="0"/>
          <w:bCs w:val="0"/>
          <w:sz w:val="32"/>
          <w:szCs w:val="32"/>
        </w:rPr>
        <w:t>（1）数量指标</w:t>
      </w:r>
      <w:r>
        <w:rPr>
          <w:rFonts w:hint="eastAsia" w:ascii="仿宋_GB2312" w:hAnsi="宋体" w:eastAsia="仿宋_GB2312"/>
          <w:b w:val="0"/>
          <w:bCs w:val="0"/>
          <w:sz w:val="32"/>
          <w:szCs w:val="32"/>
        </w:rPr>
        <w:br w:type="textWrapping"/>
      </w:r>
      <w:r>
        <w:rPr>
          <w:rFonts w:hint="eastAsia" w:ascii="仿宋_GB2312" w:hAnsi="宋体" w:eastAsia="仿宋_GB2312"/>
          <w:b w:val="0"/>
          <w:bCs w:val="0"/>
          <w:sz w:val="32"/>
          <w:szCs w:val="32"/>
        </w:rPr>
        <w:t>指标1：保障单位职工工资福利资金发放人数，指标值：118人，年中监控完成值：118人，自评完成值：121人，指标完成率103%。</w:t>
      </w:r>
      <w:r>
        <w:rPr>
          <w:rFonts w:hint="eastAsia" w:ascii="仿宋_GB2312" w:hAnsi="宋体" w:eastAsia="仿宋_GB2312"/>
          <w:b w:val="0"/>
          <w:bCs w:val="0"/>
          <w:sz w:val="32"/>
          <w:szCs w:val="32"/>
        </w:rPr>
        <w:br w:type="textWrapping"/>
      </w:r>
      <w:r>
        <w:rPr>
          <w:rFonts w:hint="eastAsia" w:ascii="仿宋_GB2312" w:hAnsi="宋体" w:eastAsia="仿宋_GB2312"/>
          <w:b w:val="0"/>
          <w:bCs w:val="0"/>
          <w:sz w:val="32"/>
          <w:szCs w:val="32"/>
        </w:rPr>
        <w:t>指标2：服务村队数量，指标值：5个，年中监控完成值：5个，自评完成值：5个，指标完成率100%。</w:t>
      </w:r>
      <w:r>
        <w:rPr>
          <w:rFonts w:hint="eastAsia" w:ascii="仿宋_GB2312" w:hAnsi="宋体" w:eastAsia="仿宋_GB2312"/>
          <w:b w:val="0"/>
          <w:bCs w:val="0"/>
          <w:sz w:val="32"/>
          <w:szCs w:val="32"/>
        </w:rPr>
        <w:br w:type="textWrapping"/>
      </w:r>
      <w:r>
        <w:rPr>
          <w:rFonts w:hint="eastAsia" w:ascii="仿宋_GB2312" w:hAnsi="宋体" w:eastAsia="仿宋_GB2312"/>
          <w:b w:val="0"/>
          <w:bCs w:val="0"/>
          <w:sz w:val="32"/>
          <w:szCs w:val="32"/>
        </w:rPr>
        <w:t>指标3：法治宣传教育次数，指标值：12次，年中监控完成值：8次，自评完成值：12次，指标完成率100%。</w:t>
      </w:r>
      <w:r>
        <w:rPr>
          <w:rFonts w:hint="eastAsia" w:ascii="仿宋_GB2312" w:hAnsi="宋体" w:eastAsia="仿宋_GB2312"/>
          <w:b w:val="0"/>
          <w:bCs w:val="0"/>
          <w:sz w:val="32"/>
          <w:szCs w:val="32"/>
        </w:rPr>
        <w:br w:type="textWrapping"/>
      </w:r>
      <w:r>
        <w:rPr>
          <w:rFonts w:hint="eastAsia" w:ascii="仿宋_GB2312" w:hAnsi="宋体" w:eastAsia="仿宋_GB2312"/>
          <w:b w:val="0"/>
          <w:bCs w:val="0"/>
          <w:sz w:val="32"/>
          <w:szCs w:val="32"/>
        </w:rPr>
        <w:t>指标4：全乡项目工程建设数量，指标值：9个，年中监控完成值：9个，自评完成值：9个，指标完成率100%。</w:t>
      </w:r>
      <w:r>
        <w:rPr>
          <w:rFonts w:hint="eastAsia" w:ascii="仿宋_GB2312" w:hAnsi="宋体" w:eastAsia="仿宋_GB2312"/>
          <w:b w:val="0"/>
          <w:bCs w:val="0"/>
          <w:sz w:val="32"/>
          <w:szCs w:val="32"/>
        </w:rPr>
        <w:br w:type="textWrapping"/>
      </w:r>
      <w:r>
        <w:rPr>
          <w:rFonts w:hint="eastAsia" w:ascii="仿宋_GB2312" w:hAnsi="宋体" w:eastAsia="仿宋_GB2312"/>
          <w:b w:val="0"/>
          <w:bCs w:val="0"/>
          <w:sz w:val="32"/>
          <w:szCs w:val="32"/>
        </w:rPr>
        <w:t>指标5：全乡劳动就业人数，指标值：1130人，年中监控完成值：1135人，自评完成值：1135人，指标完成率100%。</w:t>
      </w:r>
      <w:r>
        <w:rPr>
          <w:rFonts w:hint="eastAsia" w:ascii="仿宋_GB2312" w:hAnsi="宋体" w:eastAsia="仿宋_GB2312"/>
          <w:b w:val="0"/>
          <w:bCs w:val="0"/>
          <w:sz w:val="32"/>
          <w:szCs w:val="32"/>
        </w:rPr>
        <w:br w:type="textWrapping"/>
      </w:r>
      <w:r>
        <w:rPr>
          <w:rFonts w:hint="eastAsia" w:ascii="仿宋_GB2312" w:hAnsi="宋体" w:eastAsia="仿宋_GB2312"/>
          <w:b w:val="0"/>
          <w:bCs w:val="0"/>
          <w:sz w:val="32"/>
          <w:szCs w:val="32"/>
        </w:rPr>
        <w:t>（2）质量指标</w:t>
      </w:r>
      <w:r>
        <w:rPr>
          <w:rFonts w:hint="eastAsia" w:ascii="仿宋_GB2312" w:hAnsi="宋体" w:eastAsia="仿宋_GB2312"/>
          <w:b w:val="0"/>
          <w:bCs w:val="0"/>
          <w:sz w:val="32"/>
          <w:szCs w:val="32"/>
        </w:rPr>
        <w:br w:type="textWrapping"/>
      </w:r>
      <w:r>
        <w:rPr>
          <w:rFonts w:hint="eastAsia" w:ascii="仿宋_GB2312" w:hAnsi="宋体" w:eastAsia="仿宋_GB2312"/>
          <w:b w:val="0"/>
          <w:bCs w:val="0"/>
          <w:sz w:val="32"/>
          <w:szCs w:val="32"/>
        </w:rPr>
        <w:t>指标1：在职人员控制率，指标值：100%，年中监控完成值：100%，自评完成值：100%，指标完成率100%。</w:t>
      </w:r>
      <w:r>
        <w:rPr>
          <w:rFonts w:hint="eastAsia" w:ascii="仿宋_GB2312" w:hAnsi="宋体" w:eastAsia="仿宋_GB2312"/>
          <w:b w:val="0"/>
          <w:bCs w:val="0"/>
          <w:sz w:val="32"/>
          <w:szCs w:val="32"/>
        </w:rPr>
        <w:br w:type="textWrapping"/>
      </w:r>
      <w:r>
        <w:rPr>
          <w:rFonts w:hint="eastAsia" w:ascii="仿宋_GB2312" w:hAnsi="宋体" w:eastAsia="仿宋_GB2312"/>
          <w:b w:val="0"/>
          <w:bCs w:val="0"/>
          <w:sz w:val="32"/>
          <w:szCs w:val="32"/>
        </w:rPr>
        <w:t>指标2：资金支付准确率，指标值：100%，年中监控完成值：100%，自评完成值：100%，指标完成率100%。</w:t>
      </w:r>
      <w:r>
        <w:rPr>
          <w:rFonts w:hint="eastAsia" w:ascii="仿宋_GB2312" w:hAnsi="宋体" w:eastAsia="仿宋_GB2312"/>
          <w:b w:val="0"/>
          <w:bCs w:val="0"/>
          <w:sz w:val="32"/>
          <w:szCs w:val="32"/>
        </w:rPr>
        <w:br w:type="textWrapping"/>
      </w:r>
      <w:r>
        <w:rPr>
          <w:rFonts w:hint="eastAsia" w:ascii="仿宋_GB2312" w:hAnsi="宋体" w:eastAsia="仿宋_GB2312"/>
          <w:b w:val="0"/>
          <w:bCs w:val="0"/>
          <w:sz w:val="32"/>
          <w:szCs w:val="32"/>
        </w:rPr>
        <w:t>指标3：计划工作完成及时率，指标值：95%，年中监控完成值：100%，自评完成值：100%，指标完成率100%。</w:t>
      </w:r>
    </w:p>
    <w:p>
      <w:pPr>
        <w:keepNext w:val="0"/>
        <w:keepLines w:val="0"/>
        <w:pageBreakBefore w:val="0"/>
        <w:numPr>
          <w:ilvl w:val="0"/>
          <w:numId w:val="1"/>
        </w:numPr>
        <w:kinsoku/>
        <w:wordWrap/>
        <w:overflowPunct/>
        <w:topLinePunct w:val="0"/>
        <w:autoSpaceDE/>
        <w:autoSpaceDN/>
        <w:bidi w:val="0"/>
        <w:adjustRightInd/>
        <w:snapToGrid w:val="0"/>
        <w:spacing w:line="560" w:lineRule="exact"/>
        <w:ind w:left="0" w:leftChars="0" w:firstLine="640" w:firstLineChars="200"/>
        <w:textAlignment w:val="auto"/>
        <w:rPr>
          <w:rFonts w:ascii="黑体" w:hAnsi="黑体" w:eastAsia="黑体" w:cs="宋体"/>
          <w:b w:val="0"/>
          <w:bCs w:val="0"/>
          <w:color w:val="333333"/>
          <w:sz w:val="32"/>
          <w:szCs w:val="32"/>
        </w:rPr>
      </w:pPr>
      <w:r>
        <w:rPr>
          <w:rFonts w:hint="eastAsia" w:ascii="黑体" w:hAnsi="黑体" w:eastAsia="黑体" w:cs="宋体"/>
          <w:b w:val="0"/>
          <w:bCs w:val="0"/>
          <w:color w:val="333333"/>
          <w:sz w:val="32"/>
          <w:szCs w:val="32"/>
        </w:rPr>
        <w:t>存在的主要问题</w:t>
      </w:r>
    </w:p>
    <w:p>
      <w:pPr>
        <w:keepNext w:val="0"/>
        <w:keepLines w:val="0"/>
        <w:pageBreakBefore w:val="0"/>
        <w:kinsoku/>
        <w:wordWrap/>
        <w:overflowPunct/>
        <w:topLinePunct w:val="0"/>
        <w:autoSpaceDE/>
        <w:autoSpaceDN/>
        <w:bidi w:val="0"/>
        <w:adjustRightInd/>
        <w:spacing w:line="560" w:lineRule="exact"/>
        <w:ind w:left="0" w:leftChars="0" w:firstLine="640" w:firstLineChars="200"/>
        <w:jc w:val="left"/>
        <w:textAlignment w:val="auto"/>
        <w:rPr>
          <w:rFonts w:ascii="仿宋_GB2312" w:hAnsi="宋体" w:eastAsia="仿宋_GB2312"/>
          <w:b w:val="0"/>
          <w:bCs w:val="0"/>
          <w:sz w:val="32"/>
          <w:szCs w:val="32"/>
        </w:rPr>
      </w:pPr>
      <w:r>
        <w:rPr>
          <w:rFonts w:hint="eastAsia" w:ascii="仿宋_GB2312" w:hAnsi="宋体" w:eastAsia="仿宋_GB2312"/>
          <w:b w:val="0"/>
          <w:bCs w:val="0"/>
          <w:sz w:val="32"/>
          <w:szCs w:val="32"/>
        </w:rPr>
        <w:t>2024年度部门整体支出绩效评价综合得分99.6分，评价结果为“优”。</w:t>
      </w:r>
    </w:p>
    <w:p>
      <w:pPr>
        <w:keepNext w:val="0"/>
        <w:keepLines w:val="0"/>
        <w:pageBreakBefore w:val="0"/>
        <w:numPr>
          <w:ilvl w:val="0"/>
          <w:numId w:val="1"/>
        </w:numPr>
        <w:kinsoku/>
        <w:wordWrap/>
        <w:overflowPunct/>
        <w:topLinePunct w:val="0"/>
        <w:autoSpaceDE/>
        <w:autoSpaceDN/>
        <w:bidi w:val="0"/>
        <w:adjustRightInd/>
        <w:snapToGrid w:val="0"/>
        <w:spacing w:line="560" w:lineRule="exact"/>
        <w:ind w:left="0" w:leftChars="0" w:firstLine="640" w:firstLineChars="200"/>
        <w:textAlignment w:val="auto"/>
        <w:rPr>
          <w:rFonts w:ascii="黑体" w:hAnsi="黑体" w:eastAsia="黑体" w:cs="宋体"/>
          <w:b w:val="0"/>
          <w:bCs w:val="0"/>
          <w:color w:val="333333"/>
          <w:sz w:val="32"/>
          <w:szCs w:val="32"/>
        </w:rPr>
      </w:pPr>
      <w:r>
        <w:rPr>
          <w:rFonts w:hint="eastAsia" w:ascii="黑体" w:hAnsi="黑体" w:eastAsia="黑体" w:cs="宋体"/>
          <w:b w:val="0"/>
          <w:bCs w:val="0"/>
          <w:color w:val="333333"/>
          <w:sz w:val="32"/>
          <w:szCs w:val="32"/>
        </w:rPr>
        <w:t>改进措施和建议</w:t>
      </w:r>
    </w:p>
    <w:p>
      <w:pPr>
        <w:keepNext w:val="0"/>
        <w:keepLines w:val="0"/>
        <w:pageBreakBefore w:val="0"/>
        <w:kinsoku/>
        <w:wordWrap/>
        <w:overflowPunct/>
        <w:topLinePunct w:val="0"/>
        <w:autoSpaceDE/>
        <w:autoSpaceDN/>
        <w:bidi w:val="0"/>
        <w:adjustRightInd/>
        <w:spacing w:line="560" w:lineRule="exact"/>
        <w:ind w:left="0" w:leftChars="0" w:firstLine="640" w:firstLineChars="200"/>
        <w:jc w:val="left"/>
        <w:textAlignment w:val="auto"/>
        <w:rPr>
          <w:rFonts w:ascii="仿宋_GB2312" w:hAnsi="宋体" w:eastAsia="仿宋_GB2312"/>
          <w:b w:val="0"/>
          <w:bCs w:val="0"/>
          <w:sz w:val="32"/>
          <w:szCs w:val="32"/>
        </w:rPr>
      </w:pPr>
      <w:r>
        <w:rPr>
          <w:rFonts w:hint="eastAsia" w:ascii="仿宋_GB2312" w:hAnsi="宋体" w:eastAsia="仿宋_GB2312"/>
          <w:b w:val="0"/>
          <w:bCs w:val="0"/>
          <w:sz w:val="32"/>
          <w:szCs w:val="32"/>
        </w:rPr>
        <w:t>（一）绩效管理方面</w:t>
      </w:r>
      <w:r>
        <w:rPr>
          <w:rFonts w:hint="eastAsia" w:ascii="仿宋_GB2312" w:hAnsi="宋体" w:eastAsia="仿宋_GB2312"/>
          <w:b w:val="0"/>
          <w:bCs w:val="0"/>
          <w:sz w:val="32"/>
          <w:szCs w:val="32"/>
        </w:rPr>
        <w:br w:type="textWrapping"/>
      </w:r>
      <w:r>
        <w:rPr>
          <w:rFonts w:hint="eastAsia" w:ascii="仿宋_GB2312" w:hAnsi="宋体" w:eastAsia="仿宋_GB2312"/>
          <w:b w:val="0"/>
          <w:bCs w:val="0"/>
          <w:sz w:val="32"/>
          <w:szCs w:val="32"/>
        </w:rPr>
        <w:t>1、预算绩效管理工作时间紧、任务重、专业性强，我单位的预算绩效存在一些不足之处需要完善。</w:t>
      </w:r>
      <w:r>
        <w:rPr>
          <w:rFonts w:hint="eastAsia" w:ascii="仿宋_GB2312" w:hAnsi="宋体" w:eastAsia="仿宋_GB2312"/>
          <w:b w:val="0"/>
          <w:bCs w:val="0"/>
          <w:sz w:val="32"/>
          <w:szCs w:val="32"/>
        </w:rPr>
        <w:br w:type="textWrapping"/>
      </w:r>
      <w:r>
        <w:rPr>
          <w:rFonts w:hint="eastAsia" w:ascii="仿宋_GB2312" w:hAnsi="宋体" w:eastAsia="仿宋_GB2312"/>
          <w:b w:val="0"/>
          <w:bCs w:val="0"/>
          <w:sz w:val="32"/>
          <w:szCs w:val="32"/>
        </w:rPr>
        <w:t>2、预算绩效管理缺乏系统的培训，造成预算绩效管理指导不到位、认识不到位，理解不充分，对预算绩效管理工作重点把握不到位。</w:t>
      </w:r>
      <w:r>
        <w:rPr>
          <w:rFonts w:hint="eastAsia" w:ascii="仿宋_GB2312" w:hAnsi="宋体" w:eastAsia="仿宋_GB2312"/>
          <w:b w:val="0"/>
          <w:bCs w:val="0"/>
          <w:sz w:val="32"/>
          <w:szCs w:val="32"/>
        </w:rPr>
        <w:br w:type="textWrapping"/>
      </w:r>
      <w:r>
        <w:rPr>
          <w:rFonts w:hint="eastAsia" w:ascii="仿宋_GB2312" w:hAnsi="宋体" w:eastAsia="仿宋_GB2312"/>
          <w:b w:val="0"/>
          <w:bCs w:val="0"/>
          <w:sz w:val="32"/>
          <w:szCs w:val="32"/>
        </w:rPr>
        <w:t>（二）资产管理方面</w:t>
      </w:r>
      <w:r>
        <w:rPr>
          <w:rFonts w:hint="eastAsia" w:ascii="仿宋_GB2312" w:hAnsi="宋体" w:eastAsia="仿宋_GB2312"/>
          <w:b w:val="0"/>
          <w:bCs w:val="0"/>
          <w:sz w:val="32"/>
          <w:szCs w:val="32"/>
        </w:rPr>
        <w:br w:type="textWrapping"/>
      </w:r>
      <w:r>
        <w:rPr>
          <w:rFonts w:hint="eastAsia" w:ascii="仿宋_GB2312" w:hAnsi="宋体" w:eastAsia="仿宋_GB2312"/>
          <w:b w:val="0"/>
          <w:bCs w:val="0"/>
          <w:sz w:val="32"/>
          <w:szCs w:val="32"/>
        </w:rPr>
        <w:t>资产管理制度不规范、不完整。固定资产日常管理不够规范。未能及时按照《行政事业单位内部控制规范（试行）》（财会〔2012〕21号）文件规定定期对固定资产进行盘点。未按《行政事业单位资产清查核实管理办法》（财资〔2016〕1号）文件规定对固定资产进行卡片管理。导致固定资产财务报表与决算报表数据有一定误差。</w:t>
      </w:r>
      <w:r>
        <w:rPr>
          <w:rFonts w:hint="eastAsia" w:ascii="仿宋_GB2312" w:hAnsi="宋体" w:eastAsia="仿宋_GB2312"/>
          <w:b w:val="0"/>
          <w:bCs w:val="0"/>
          <w:sz w:val="32"/>
          <w:szCs w:val="32"/>
        </w:rPr>
        <w:br w:type="textWrapping"/>
      </w:r>
      <w:r>
        <w:rPr>
          <w:rFonts w:hint="eastAsia" w:ascii="仿宋_GB2312" w:hAnsi="宋体" w:eastAsia="仿宋_GB2312"/>
          <w:b w:val="0"/>
          <w:bCs w:val="0"/>
          <w:sz w:val="32"/>
          <w:szCs w:val="32"/>
        </w:rPr>
        <w:t>（三）预算管理方面</w:t>
      </w:r>
      <w:r>
        <w:rPr>
          <w:rFonts w:hint="eastAsia" w:ascii="仿宋_GB2312" w:hAnsi="宋体" w:eastAsia="仿宋_GB2312"/>
          <w:b w:val="0"/>
          <w:bCs w:val="0"/>
          <w:sz w:val="32"/>
          <w:szCs w:val="32"/>
        </w:rPr>
        <w:br w:type="textWrapping"/>
      </w:r>
      <w:r>
        <w:rPr>
          <w:rFonts w:hint="eastAsia" w:ascii="仿宋_GB2312" w:hAnsi="宋体" w:eastAsia="仿宋_GB2312"/>
          <w:b w:val="0"/>
          <w:bCs w:val="0"/>
          <w:sz w:val="32"/>
          <w:szCs w:val="32"/>
        </w:rPr>
        <w:t>1.经费预算编制精准度有待提高。由于预算执行中的不确定性，实际经费核算的科目、支出内容与预算会出现一定偏差。</w:t>
      </w:r>
      <w:r>
        <w:rPr>
          <w:rFonts w:hint="eastAsia" w:ascii="仿宋_GB2312" w:hAnsi="宋体" w:eastAsia="仿宋_GB2312"/>
          <w:b w:val="0"/>
          <w:bCs w:val="0"/>
          <w:sz w:val="32"/>
          <w:szCs w:val="32"/>
        </w:rPr>
        <w:br w:type="textWrapping"/>
      </w:r>
      <w:r>
        <w:rPr>
          <w:rFonts w:hint="eastAsia" w:ascii="仿宋_GB2312" w:hAnsi="宋体" w:eastAsia="仿宋_GB2312"/>
          <w:b w:val="0"/>
          <w:bCs w:val="0"/>
          <w:sz w:val="32"/>
          <w:szCs w:val="32"/>
        </w:rPr>
        <w:t>2.财务人员业务素质有待进一步提高。由于缺乏系统学习，财务人员对预算绩效管理认识不到位、理解不充分，对预算绩效管理业务不了解、不熟悉，对工作重点把握不到位，由此造成绩效评价工作还未摆脱财务考评或验收的影响。</w:t>
      </w:r>
    </w:p>
    <w:p>
      <w:pPr>
        <w:keepNext w:val="0"/>
        <w:keepLines w:val="0"/>
        <w:pageBreakBefore w:val="0"/>
        <w:numPr>
          <w:ilvl w:val="0"/>
          <w:numId w:val="1"/>
        </w:numPr>
        <w:kinsoku/>
        <w:wordWrap/>
        <w:overflowPunct/>
        <w:topLinePunct w:val="0"/>
        <w:autoSpaceDE/>
        <w:autoSpaceDN/>
        <w:bidi w:val="0"/>
        <w:adjustRightInd/>
        <w:snapToGrid w:val="0"/>
        <w:spacing w:line="560" w:lineRule="exact"/>
        <w:ind w:left="0" w:leftChars="0" w:firstLine="640" w:firstLineChars="200"/>
        <w:textAlignment w:val="auto"/>
        <w:rPr>
          <w:rFonts w:ascii="黑体" w:hAnsi="黑体" w:eastAsia="黑体" w:cs="宋体"/>
          <w:b w:val="0"/>
          <w:bCs w:val="0"/>
          <w:color w:val="333333"/>
          <w:sz w:val="32"/>
          <w:szCs w:val="32"/>
        </w:rPr>
      </w:pPr>
      <w:r>
        <w:rPr>
          <w:rFonts w:hint="eastAsia" w:ascii="黑体" w:hAnsi="黑体" w:eastAsia="黑体" w:cs="宋体"/>
          <w:b w:val="0"/>
          <w:bCs w:val="0"/>
          <w:color w:val="333333"/>
          <w:sz w:val="32"/>
          <w:szCs w:val="32"/>
        </w:rPr>
        <w:t>附表：《部门整体支出绩效目标自评表》</w:t>
      </w:r>
    </w:p>
    <w:p>
      <w:pPr>
        <w:keepNext w:val="0"/>
        <w:keepLines w:val="0"/>
        <w:pageBreakBefore w:val="0"/>
        <w:kinsoku/>
        <w:wordWrap/>
        <w:overflowPunct/>
        <w:topLinePunct w:val="0"/>
        <w:autoSpaceDE/>
        <w:autoSpaceDN/>
        <w:bidi w:val="0"/>
        <w:adjustRightInd/>
        <w:spacing w:line="560" w:lineRule="exact"/>
        <w:ind w:left="0" w:leftChars="0" w:firstLine="420" w:firstLineChars="200"/>
        <w:textAlignment w:val="auto"/>
        <w:rPr>
          <w:b w:val="0"/>
          <w:bCs w:val="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方正小标宋_GBK">
    <w:altName w:val="微软雅黑"/>
    <w:panose1 w:val="00000000000000000000"/>
    <w:charset w:val="86"/>
    <w:family w:val="script"/>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F205925"/>
    <w:multiLevelType w:val="multilevel"/>
    <w:tmpl w:val="BF205925"/>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abstractNum w:abstractNumId="1">
    <w:nsid w:val="77FD7E58"/>
    <w:multiLevelType w:val="singleLevel"/>
    <w:tmpl w:val="77FD7E58"/>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42076C"/>
    <w:rsid w:val="18B37087"/>
    <w:rsid w:val="3F5F2619"/>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nhideWhenUsed="0" w:uiPriority="99" w:semiHidden="0"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table" w:styleId="5">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customStyle="1" w:styleId="7">
    <w:name w:val="页眉 字符"/>
    <w:basedOn w:val="6"/>
    <w:link w:val="3"/>
    <w:uiPriority w:val="99"/>
    <w:rPr>
      <w:sz w:val="18"/>
      <w:szCs w:val="18"/>
    </w:rPr>
  </w:style>
  <w:style w:type="character" w:customStyle="1" w:styleId="8">
    <w:name w:val="页脚 字符"/>
    <w:basedOn w:val="6"/>
    <w:link w:val="2"/>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51</Words>
  <Characters>293</Characters>
  <Lines>2</Lines>
  <Paragraphs>1</Paragraphs>
  <TotalTime>11</TotalTime>
  <ScaleCrop>false</ScaleCrop>
  <LinksUpToDate>false</LinksUpToDate>
  <CharactersWithSpaces>343</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0305</cp:lastModifiedBy>
  <dcterms:modified xsi:type="dcterms:W3CDTF">2025-09-29T10:44:48Z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